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000" w:firstRow="0" w:lastRow="0" w:firstColumn="0" w:lastColumn="0" w:noHBand="0" w:noVBand="0"/>
      </w:tblPr>
      <w:tblGrid>
        <w:gridCol w:w="9618"/>
      </w:tblGrid>
      <w:tr w:rsidR="00AF221E" w14:paraId="50C22207" w14:textId="77777777" w:rsidTr="00AF221E">
        <w:trPr>
          <w:trHeight w:val="2385"/>
        </w:trPr>
        <w:tc>
          <w:tcPr>
            <w:tcW w:w="9618" w:type="dxa"/>
            <w:shd w:val="clear" w:color="auto" w:fill="E7E6E6" w:themeFill="background2"/>
          </w:tcPr>
          <w:p w14:paraId="2364680A" w14:textId="43910C14" w:rsidR="00AF221E" w:rsidRPr="00BD3D80" w:rsidRDefault="00AF221E" w:rsidP="00AF221E">
            <w:pPr>
              <w:ind w:left="120"/>
              <w:jc w:val="center"/>
              <w:rPr>
                <w:b/>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pPr>
            <w:bookmarkStart w:id="0" w:name="_Hlk505876325"/>
            <w:r>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 xml:space="preserve">Bienvenue dans la boîte à outils MEAL (suivi, évaluation, redevabilité et apprentissage) du </w:t>
            </w:r>
            <w:r w:rsidR="00716DEB">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 xml:space="preserve">Réseau de la société civile </w:t>
            </w:r>
            <w:r>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SUN</w:t>
            </w:r>
            <w:r w:rsidR="002C54BD">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 </w:t>
            </w:r>
            <w:r>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w:t>
            </w:r>
          </w:p>
          <w:p w14:paraId="3B33778B" w14:textId="2C4AB3A5" w:rsidR="00AF221E" w:rsidRPr="00BD3D80" w:rsidRDefault="00AF221E" w:rsidP="00AF221E">
            <w:pPr>
              <w:spacing w:after="0"/>
              <w:ind w:left="120"/>
              <w:rPr>
                <w:rFonts w:ascii="Arial" w:hAnsi="Arial"/>
                <w:i/>
                <w:lang w:val="fr-FR"/>
              </w:rPr>
            </w:pPr>
            <w:r>
              <w:rPr>
                <w:rFonts w:ascii="Arial" w:hAnsi="Arial"/>
                <w:i/>
                <w:iCs/>
                <w:lang w:val="fr-FR"/>
              </w:rPr>
              <w:t xml:space="preserve">Vous êtes dans </w:t>
            </w:r>
            <w:r w:rsidR="00716DEB">
              <w:rPr>
                <w:rFonts w:ascii="Arial" w:hAnsi="Arial"/>
                <w:i/>
                <w:iCs/>
                <w:lang w:val="fr-FR"/>
              </w:rPr>
              <w:t>la section</w:t>
            </w:r>
            <w:r>
              <w:rPr>
                <w:rFonts w:ascii="Arial" w:hAnsi="Arial"/>
                <w:i/>
                <w:iCs/>
                <w:lang w:val="fr-FR"/>
              </w:rPr>
              <w:t xml:space="preserve"> </w:t>
            </w:r>
            <w:r w:rsidR="005C619D">
              <w:rPr>
                <w:rFonts w:ascii="Arial" w:hAnsi="Arial"/>
                <w:i/>
                <w:iCs/>
                <w:lang w:val="fr-FR"/>
              </w:rPr>
              <w:t xml:space="preserve">suivante </w:t>
            </w:r>
            <w:r>
              <w:rPr>
                <w:rFonts w:ascii="Arial" w:hAnsi="Arial"/>
                <w:i/>
                <w:iCs/>
                <w:lang w:val="fr-FR"/>
              </w:rPr>
              <w:t xml:space="preserve">de la boîte à outils MEAL du </w:t>
            </w:r>
            <w:r w:rsidR="00716DEB">
              <w:rPr>
                <w:rFonts w:ascii="Arial" w:hAnsi="Arial"/>
                <w:i/>
                <w:iCs/>
                <w:lang w:val="fr-FR"/>
              </w:rPr>
              <w:t xml:space="preserve">Réseau de la société civile </w:t>
            </w:r>
            <w:r>
              <w:rPr>
                <w:rFonts w:ascii="Arial" w:hAnsi="Arial"/>
                <w:i/>
                <w:iCs/>
                <w:lang w:val="fr-FR"/>
              </w:rPr>
              <w:t>SUN :</w:t>
            </w:r>
          </w:p>
          <w:p w14:paraId="407DE13E" w14:textId="77777777" w:rsidR="00AF221E" w:rsidRPr="00AF221E" w:rsidRDefault="00AF221E" w:rsidP="00AF221E">
            <w:pPr>
              <w:pStyle w:val="ListParagraph"/>
              <w:numPr>
                <w:ilvl w:val="0"/>
                <w:numId w:val="29"/>
              </w:numPr>
              <w:spacing w:after="0"/>
              <w:ind w:left="441"/>
              <w:rPr>
                <w:rFonts w:ascii="Arial" w:hAnsi="Arial"/>
              </w:rPr>
            </w:pPr>
            <w:r>
              <w:rPr>
                <w:rFonts w:ascii="Arial" w:hAnsi="Arial"/>
                <w:lang w:val="fr-FR"/>
              </w:rPr>
              <w:t>Planifier le changement</w:t>
            </w:r>
          </w:p>
          <w:p w14:paraId="3836E7E2" w14:textId="5AADFA16" w:rsidR="00AF221E" w:rsidRPr="00BD3D80" w:rsidRDefault="00AF221E" w:rsidP="00AF221E">
            <w:pPr>
              <w:pStyle w:val="ListParagraph"/>
              <w:numPr>
                <w:ilvl w:val="0"/>
                <w:numId w:val="29"/>
              </w:numPr>
              <w:spacing w:after="0"/>
              <w:ind w:left="441"/>
              <w:rPr>
                <w:rFonts w:ascii="Arial" w:hAnsi="Arial"/>
                <w:b/>
                <w:lang w:val="fr-FR"/>
              </w:rPr>
            </w:pPr>
            <w:r>
              <w:rPr>
                <w:rFonts w:ascii="Arial" w:hAnsi="Arial"/>
                <w:b/>
                <w:bCs/>
                <w:lang w:val="fr-FR"/>
              </w:rPr>
              <w:t xml:space="preserve">Suivi -- </w:t>
            </w:r>
            <w:r>
              <w:rPr>
                <w:rFonts w:ascii="Arial" w:hAnsi="Arial"/>
                <w:b/>
                <w:bCs/>
                <w:color w:val="FFC000" w:themeColor="accent4"/>
                <w:lang w:val="fr-FR"/>
              </w:rPr>
              <w:t xml:space="preserve">Théorie du changement mondiale du </w:t>
            </w:r>
            <w:r w:rsidR="00716DEB">
              <w:rPr>
                <w:rFonts w:ascii="Arial" w:hAnsi="Arial"/>
                <w:b/>
                <w:bCs/>
                <w:color w:val="FFC000" w:themeColor="accent4"/>
                <w:lang w:val="fr-FR"/>
              </w:rPr>
              <w:t xml:space="preserve">Réseau de la société civile </w:t>
            </w:r>
            <w:r>
              <w:rPr>
                <w:rFonts w:ascii="Arial" w:hAnsi="Arial"/>
                <w:b/>
                <w:bCs/>
                <w:color w:val="FFC000" w:themeColor="accent4"/>
                <w:lang w:val="fr-FR"/>
              </w:rPr>
              <w:t>SUN et indicateurs proposés</w:t>
            </w:r>
          </w:p>
          <w:p w14:paraId="2D6A9335" w14:textId="77777777" w:rsidR="00AF221E" w:rsidRPr="00AF221E" w:rsidRDefault="00AF221E" w:rsidP="00AF221E">
            <w:pPr>
              <w:pStyle w:val="ListParagraph"/>
              <w:numPr>
                <w:ilvl w:val="0"/>
                <w:numId w:val="29"/>
              </w:numPr>
              <w:spacing w:after="0"/>
              <w:ind w:left="441"/>
              <w:rPr>
                <w:rFonts w:ascii="Arial" w:hAnsi="Arial"/>
              </w:rPr>
            </w:pPr>
            <w:r>
              <w:rPr>
                <w:rFonts w:ascii="Arial" w:hAnsi="Arial"/>
                <w:lang w:val="fr-FR"/>
              </w:rPr>
              <w:t>Évaluation</w:t>
            </w:r>
          </w:p>
          <w:p w14:paraId="4993BFB1" w14:textId="77777777" w:rsidR="00AF221E" w:rsidRDefault="00AF221E" w:rsidP="00AF221E">
            <w:pPr>
              <w:pStyle w:val="ListParagraph"/>
              <w:numPr>
                <w:ilvl w:val="0"/>
                <w:numId w:val="29"/>
              </w:numPr>
              <w:spacing w:after="0"/>
              <w:ind w:left="441"/>
              <w:rPr>
                <w:rFonts w:ascii="Arial" w:hAnsi="Arial"/>
              </w:rPr>
            </w:pPr>
            <w:r>
              <w:rPr>
                <w:rFonts w:ascii="Arial" w:hAnsi="Arial"/>
                <w:lang w:val="fr-FR"/>
              </w:rPr>
              <w:t xml:space="preserve">Redevabilité </w:t>
            </w:r>
          </w:p>
          <w:p w14:paraId="5B406727" w14:textId="6CAF220A" w:rsidR="00AF221E" w:rsidRPr="00AF221E" w:rsidRDefault="00AF221E" w:rsidP="00AF221E">
            <w:pPr>
              <w:pStyle w:val="ListParagraph"/>
              <w:numPr>
                <w:ilvl w:val="0"/>
                <w:numId w:val="29"/>
              </w:numPr>
              <w:spacing w:after="0"/>
              <w:ind w:left="441"/>
              <w:rPr>
                <w:rFonts w:ascii="Arial" w:hAnsi="Arial"/>
              </w:rPr>
            </w:pPr>
            <w:r>
              <w:rPr>
                <w:rFonts w:ascii="Arial" w:hAnsi="Arial"/>
                <w:lang w:val="fr-FR"/>
              </w:rPr>
              <w:t>Apprentissage</w:t>
            </w:r>
          </w:p>
        </w:tc>
      </w:tr>
    </w:tbl>
    <w:p w14:paraId="7FBE4C16" w14:textId="77777777" w:rsidR="00AF221E" w:rsidRDefault="00AF221E" w:rsidP="000759DD">
      <w:pPr>
        <w:jc w:val="both"/>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pPr>
    </w:p>
    <w:p w14:paraId="4CC99018" w14:textId="7EF5C095" w:rsidR="000759DD" w:rsidRPr="00BD3D80" w:rsidRDefault="000759DD" w:rsidP="000759DD">
      <w:pPr>
        <w:jc w:val="both"/>
        <w:rPr>
          <w:b/>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pPr>
      <w:r>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 xml:space="preserve">Théorie du changement mondiale du </w:t>
      </w:r>
      <w:r w:rsidR="00716DEB">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 xml:space="preserve">Réseau de la société civile </w:t>
      </w:r>
      <w:r>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 xml:space="preserve">SUN avec indicateurs proposés </w:t>
      </w:r>
    </w:p>
    <w:p w14:paraId="6BA9D117" w14:textId="5F8DCC93" w:rsidR="000759DD" w:rsidRPr="00BD3D80" w:rsidRDefault="000759DD" w:rsidP="000759DD">
      <w:pPr>
        <w:jc w:val="both"/>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pPr>
      <w:r>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À quoi sert ce document</w:t>
      </w:r>
      <w:r w:rsidR="002C54BD">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 </w:t>
      </w:r>
      <w:r>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ascii="Arial" w:hAnsi="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Ce document complète la stratégie MEAL du </w:t>
      </w:r>
      <w:r w:rsidR="00716DEB">
        <w:rPr>
          <w:rFonts w:ascii="Arial" w:hAnsi="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Réseau de la société civile </w:t>
      </w:r>
      <w:r>
        <w:rPr>
          <w:rFonts w:ascii="Arial" w:hAnsi="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SUN et fournit des recommandations aux Alliances de la société civile sur la façon de mesurer leur impact/</w:t>
      </w:r>
      <w:r w:rsidR="00EA304E">
        <w:rPr>
          <w:rFonts w:ascii="Arial" w:hAnsi="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leurs </w:t>
      </w:r>
      <w:r>
        <w:rPr>
          <w:rFonts w:ascii="Arial" w:hAnsi="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résultats (théorie du changement/cadre logique).</w:t>
      </w:r>
    </w:p>
    <w:p w14:paraId="6CC76088" w14:textId="3F404F99" w:rsidR="000759DD" w:rsidRPr="00BD3D80" w:rsidRDefault="000759DD" w:rsidP="000759DD">
      <w:pPr>
        <w:jc w:val="both"/>
        <w:rPr>
          <w:rFonts w:ascii="Arial" w:hAnsi="Arial" w:cs="Arial"/>
          <w:b/>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Avant d</w:t>
      </w:r>
      <w:r w:rsidR="002C54BD">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 xml:space="preserve">utiliser ce document : </w:t>
      </w:r>
    </w:p>
    <w:p w14:paraId="37CF20F1" w14:textId="5B26D687" w:rsidR="000759DD" w:rsidRPr="00BD3D80" w:rsidRDefault="00716DEB" w:rsidP="000759DD">
      <w:pPr>
        <w:jc w:val="both"/>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b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Élaborez</w:t>
      </w:r>
      <w:r w:rsidR="000759DD">
        <w:rPr>
          <w:rFonts w:ascii="Arial" w:hAnsi="Arial" w:cs="Arial"/>
          <w:b/>
          <w:b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votre théorie du changement</w:t>
      </w:r>
      <w:r>
        <w:rPr>
          <w:rFonts w:ascii="Arial" w:hAnsi="Arial" w:cs="Arial"/>
          <w:b/>
          <w:b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sidR="000759DD">
        <w:rPr>
          <w:rFonts w:ascii="Arial" w:hAnsi="Arial" w:cs="Arial"/>
          <w:b/>
          <w:b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w:t>
      </w:r>
      <w:r w:rsidR="000759D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Le Secrétariat mondial et les Alliances </w:t>
      </w:r>
      <w:r w:rsidR="00BD3D80">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du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Réseau de la société civile </w:t>
      </w:r>
      <w:r w:rsidR="000759D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SUN sont encouragés à élaborer leur théorie du changement en se référant à la théorie du changement (</w:t>
      </w:r>
      <w:proofErr w:type="spellStart"/>
      <w:r w:rsidR="000759D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sidR="000759D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mondiale du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R</w:t>
      </w:r>
      <w:r w:rsidR="000759D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éseau de la société civile. Chaque Alliance/</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Réseau de la société civile </w:t>
      </w:r>
      <w:r w:rsidR="00BD3D80">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doit</w:t>
      </w:r>
      <w:r w:rsidR="000759D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cartographier son cheminement d</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sidR="000759D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impact spécifique ou sa théorie du changement ou son cadre logique (conformément aux priorités du pays et des membres) par rapport à la </w:t>
      </w:r>
      <w:proofErr w:type="spellStart"/>
      <w:r w:rsidR="000759D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sidR="000759D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mondiale du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Réseau de la société civile </w:t>
      </w:r>
      <w:r w:rsidR="000759D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SUN</w:t>
      </w:r>
      <w:r w:rsidR="000759DD">
        <w:rPr>
          <w:rStyle w:val="FootnoteReference"/>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footnoteReference w:id="1"/>
      </w:r>
      <w:r w:rsidR="00BD3D80">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p>
    <w:p w14:paraId="202F87CF" w14:textId="1BC923CE" w:rsidR="000759DD" w:rsidRPr="00BD3D80" w:rsidRDefault="000759DD" w:rsidP="000759DD">
      <w:pPr>
        <w:jc w:val="both"/>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b/>
      </w:r>
      <w:r>
        <w:rPr>
          <w:rFonts w:ascii="Arial" w:hAnsi="Arial" w:cs="Arial"/>
          <w:b/>
          <w:bCs/>
          <w:i/>
          <w:i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À propos de la </w:t>
      </w:r>
      <w:proofErr w:type="spellStart"/>
      <w:r>
        <w:rPr>
          <w:rFonts w:ascii="Arial" w:hAnsi="Arial" w:cs="Arial"/>
          <w:b/>
          <w:bCs/>
          <w:i/>
          <w:i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Pr>
          <w:rFonts w:ascii="Arial" w:hAnsi="Arial" w:cs="Arial"/>
          <w:b/>
          <w:bCs/>
          <w:i/>
          <w:i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du </w:t>
      </w:r>
      <w:r w:rsidR="00716DEB">
        <w:rPr>
          <w:rFonts w:ascii="Arial" w:hAnsi="Arial" w:cs="Arial"/>
          <w:b/>
          <w:bCs/>
          <w:i/>
          <w:i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Réseau de la société civile </w:t>
      </w:r>
      <w:r>
        <w:rPr>
          <w:rFonts w:ascii="Arial" w:hAnsi="Arial" w:cs="Arial"/>
          <w:b/>
          <w:bCs/>
          <w:i/>
          <w:i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SUN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La </w:t>
      </w:r>
      <w:proofErr w:type="spellStart"/>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mondiale du </w:t>
      </w:r>
      <w:r w:rsidR="00716DEB">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Réseau de la société civile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SUN a été élaborée en novembre 2016. Elle est le fruit d</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un atelier de deux jours qui réunissait des membres de la société civile SUN au niveau mondial et national. Toutes les Alliances et tous les membres de la société civile au niveau mondial ont eu l</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occasion d</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apporter leur contribution à la théorie du changement et de la réviser tout au long de l</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année</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2017. La </w:t>
      </w:r>
      <w:proofErr w:type="spellStart"/>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mondiale du </w:t>
      </w:r>
      <w:r w:rsidR="00716DEB">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Réseau de la société civile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est assez longue car elle vise à inclure la plupart des initiatives des </w:t>
      </w:r>
      <w:r w:rsidR="00D97068">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lliances de la société civile au niveau local, national, régional et mondial. Nous espérons que la</w:t>
      </w:r>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du Réseau de la société civile correspond à la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stratégie </w:t>
      </w:r>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et au plan de travail existants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de votre Alliance </w:t>
      </w:r>
      <w:r w:rsidR="004E72B7">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afin que votre intervention soit reflétée dans</w:t>
      </w:r>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certains des résultats et produits proposés (mais pas tous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Si vous avez des difficultés</w:t>
      </w:r>
      <w:r w:rsidR="004E72B7">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w:t>
      </w:r>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n’hésitez pas à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nous contacter</w:t>
      </w:r>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n</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ous </w:t>
      </w:r>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serons heureux de vous aider. Si vous pensez que votre travail ne correspond </w:t>
      </w:r>
      <w:r w:rsidR="00463774">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pas </w:t>
      </w:r>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à la </w:t>
      </w:r>
      <w:proofErr w:type="spellStart"/>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n’hésitez pas à nous le dire car il est important que la </w:t>
      </w:r>
      <w:proofErr w:type="spellStart"/>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reflète le travail des ASC. Bien qu’une révision complète de la </w:t>
      </w:r>
      <w:proofErr w:type="spellStart"/>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w:t>
      </w:r>
      <w:r w:rsidR="005B1228">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soit prévue</w:t>
      </w:r>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w:t>
      </w:r>
      <w:r w:rsidR="00463774">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avant la fin de</w:t>
      </w:r>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2020, nous tenons à ce que la </w:t>
      </w:r>
      <w:proofErr w:type="spellStart"/>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soit un document </w:t>
      </w:r>
      <w:r w:rsidR="006B67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sidR="00750E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dynamique</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sidR="006B67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en l</w:t>
      </w:r>
      <w:r w:rsidR="00463774">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w:t>
      </w:r>
      <w:r w:rsidR="006B678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révisant en permanence</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p>
    <w:p w14:paraId="1E9E4062" w14:textId="55317633" w:rsidR="000759DD" w:rsidRPr="00BD3D80" w:rsidRDefault="000759DD" w:rsidP="000759DD">
      <w:pPr>
        <w:jc w:val="both"/>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Comment utiliser cette boîte à outils</w:t>
      </w:r>
      <w:r w:rsidR="002C54BD">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 </w:t>
      </w:r>
      <w:r>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w:t>
      </w:r>
    </w:p>
    <w:p w14:paraId="5A79C3E6" w14:textId="69804DF7" w:rsidR="000759DD" w:rsidRPr="00BD3D80" w:rsidRDefault="000759DD" w:rsidP="000759DD">
      <w:pPr>
        <w:jc w:val="both"/>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b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Sélection des indicateurs</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Une fois que la </w:t>
      </w:r>
      <w:proofErr w:type="spellStart"/>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est élaborée, nous encourageons les </w:t>
      </w:r>
      <w:r w:rsidR="00350EE9">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lliances de la société civile à sélectionner quelques indicateurs de performance quantitatifs/qualitatifs SMART (spécifiques, mesurables, réalisables, pertinents et délimités dans le temps). Ce document devrait vous permettre de sélectionner plus facilement les indicateurs permettant de mesurer le changement à tous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les niveaux. </w:t>
      </w:r>
      <w:r>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 xml:space="preserve">Les indicateurs ci-dessous ne sont que des suggestions initiales à examiner par les </w:t>
      </w:r>
      <w:r w:rsidR="00350EE9">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A</w:t>
      </w:r>
      <w:r>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lliances de la société civile, par conséquent, n</w:t>
      </w:r>
      <w:r w:rsidR="002C54BD">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hésitez pas à nous faire part de vos commentaires/révisions.</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0C5D3523" w14:textId="60649C53" w:rsidR="000759DD" w:rsidRPr="00BD3D80" w:rsidRDefault="000759DD" w:rsidP="000759DD">
      <w:pPr>
        <w:pStyle w:val="ListParagraph"/>
        <w:numPr>
          <w:ilvl w:val="0"/>
          <w:numId w:val="15"/>
        </w:numP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Au niveau mondial</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nous cherchons à avoir un nombre limité d</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indicateurs standard pour chaque Alliance de la société civile. Nous vous demanderons de faire un rapport sur ces indicateurs une fois par an. Chaque Alliance de la société civile devrait nous faire parvenir</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1)</w:t>
      </w:r>
      <w:r w:rsidR="00716DEB">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ses résultats clés conformément à la stratégie de l</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Alliance de la société civile</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2) 4-5 résultats intermédiaires et indicateurs connexes et 3) 4-5 produits et indicateurs connexes. Veuillez communiquer également les </w:t>
      </w:r>
      <w:r w:rsidR="005C619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cibles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annuel</w:t>
      </w:r>
      <w:r w:rsidR="005C619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le</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s et à long terme (3 ou 5 ans) attendu</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e</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s pour vos indicateurs.</w:t>
      </w:r>
    </w:p>
    <w:p w14:paraId="6ECC2660" w14:textId="1FE045CB" w:rsidR="000759DD" w:rsidRPr="00BD3D80" w:rsidRDefault="000759DD" w:rsidP="000759DD">
      <w:pPr>
        <w:pStyle w:val="ListParagraph"/>
        <w:numPr>
          <w:ilvl w:val="1"/>
          <w:numId w:val="15"/>
        </w:numP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Nous suggérons de sélectionner au moins 2-3 résultats intermédiaires liés à l</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intervention stratégique de l</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Alliance (p.</w:t>
      </w:r>
      <w:r w:rsidR="00716DEB">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ex., examen des politiques, campagne et sensibilisation, etc.) et au moins 2-3 résultats intermédiaires au niveau de la gouvernance et de l</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engagement des plateformes </w:t>
      </w:r>
      <w:proofErr w:type="spellStart"/>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multiacteurs</w:t>
      </w:r>
      <w:proofErr w:type="spellEnd"/>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p>
    <w:p w14:paraId="28E92697" w14:textId="77777777" w:rsidR="000759DD" w:rsidRPr="00BD3D80" w:rsidRDefault="000759DD" w:rsidP="000759DD">
      <w:pPr>
        <w:pStyle w:val="ListParagraph"/>
        <w:ind w:left="1440"/>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pPr>
    </w:p>
    <w:p w14:paraId="137A301F" w14:textId="55EAC573" w:rsidR="000759DD" w:rsidRPr="00BD3D80" w:rsidRDefault="000759DD" w:rsidP="000759DD">
      <w:pPr>
        <w:pStyle w:val="ListParagraph"/>
        <w:numPr>
          <w:ilvl w:val="0"/>
          <w:numId w:val="15"/>
        </w:numP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Au </w:t>
      </w:r>
      <w:r>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niveau national</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nous vous encourageons à élaborer votre système MEAL </w:t>
      </w:r>
      <w:r>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 xml:space="preserve">à partir de la stratégie pluriannuelle ou de la </w:t>
      </w:r>
      <w:proofErr w:type="spellStart"/>
      <w:r>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 xml:space="preserve"> de l</w:t>
      </w:r>
      <w:r w:rsidR="002C54BD">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u w:val="single"/>
          <w:lang w:val="fr-FR"/>
          <w14:textOutline w14:w="0" w14:cap="flat" w14:cmpd="sng" w14:algn="ctr">
            <w14:noFill/>
            <w14:prstDash w14:val="solid"/>
            <w14:round/>
          </w14:textOutline>
          <w14:props3d w14:extrusionH="57150" w14:contourW="0" w14:prstMaterial="softEdge">
            <w14:bevelT w14:w="25400" w14:h="38100" w14:prst="circle"/>
          </w14:props3d>
        </w:rPr>
        <w:t>Alliance de la société civile</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qui vous servira de base pour développer des systèmes MEAL spécifiques à un projet. </w:t>
      </w:r>
      <w:r w:rsidRPr="009365E8">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Ainsi, chacun</w:t>
      </w:r>
      <w:r w:rsidRPr="0029661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de vos projets</w:t>
      </w:r>
      <w:r w:rsidR="002A33FC" w:rsidRPr="0029661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ou </w:t>
      </w:r>
      <w:r w:rsidRPr="0029661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initiatives contribuera</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de façon cohérente aux mêmes résultats/changements et il sera plus facile de démontrer l</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impact global de l</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Alliance. En établissant la cartographie des indicateurs conformément à la stratégie/</w:t>
      </w:r>
      <w:proofErr w:type="spellStart"/>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de votre Alliance, vous pourrez vous entendre sur les résultats attendus et les indicateurs connexes à moyen et long terme (ce qui n</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est souvent pas possible avec des projets financés sur un an). Pour votre système MEAL, il est possible que vous ayez besoin d</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un plus grand nombre d</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indicateurs que pour le système que vous communiquez au Secrétariat mondial. Par conséquent, n</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hésitez pas à utiliser les indicateurs suggérés dans cette liste que vous compléterez avec des indicateurs plus appropriés à votre situation. </w:t>
      </w:r>
    </w:p>
    <w:p w14:paraId="5194D0C1" w14:textId="43E8E78D" w:rsidR="000759DD" w:rsidRPr="00BD3D80" w:rsidRDefault="000759DD" w:rsidP="000759DD">
      <w:pP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b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Renforcer les capacités</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ascii="Arial" w:hAnsi="Arial" w:cs="Arial"/>
          <w:b/>
          <w:b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et l</w:t>
      </w:r>
      <w:r w:rsidR="002C54BD">
        <w:rPr>
          <w:rFonts w:ascii="Arial" w:hAnsi="Arial" w:cs="Arial"/>
          <w:b/>
          <w:b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b/>
          <w:b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engagement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tout en cartographiant la </w:t>
      </w:r>
      <w:proofErr w:type="spellStart"/>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et les indicateurs : </w:t>
      </w:r>
      <w:proofErr w:type="spellStart"/>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veuillez vous</w:t>
      </w:r>
      <w:proofErr w:type="spellEnd"/>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assurer d</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appliquer un </w:t>
      </w:r>
      <w:r>
        <w:rPr>
          <w:rFonts w:ascii="Arial" w:hAnsi="Arial" w:cs="Arial"/>
          <w:b/>
          <w:b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processus participatif</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il est essentiel que vos organisations membres comprennent et acceptent les résultats et les indicateurs connexes, les</w:t>
      </w:r>
      <w:r w:rsidR="00075914">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w:t>
      </w:r>
      <w:r w:rsidR="00E7751C">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cibles</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et les moyens de vérification proposés. Utilisez cet exercice comme une occasion de renforcer les capacités, l</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intérêt, la responsabilité et la cohésion internes </w:t>
      </w:r>
      <w:r w:rsidR="00716DEB">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concernant le</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MEAL. </w:t>
      </w:r>
    </w:p>
    <w:p w14:paraId="55195E7E" w14:textId="6AC6240C" w:rsidR="000759DD" w:rsidRPr="00BD3D80" w:rsidRDefault="000759DD" w:rsidP="000759DD">
      <w:pP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Veuillez sélectionner les indicateurs sur la base de</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1) leur cohérence avec la stratégie/la </w:t>
      </w:r>
      <w:proofErr w:type="spellStart"/>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proposée</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2) l</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utilité des données pour guider leur planification, leur évaluation et leur apprentissage</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3)</w:t>
      </w:r>
      <w:r w:rsidR="002051AC">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la capacité (humaine et technique) de rassembler les preuves</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4) la redevabilité : «</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ce que les autres voudraient savoir au sujet de votre Alliance de la société civile</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(à l</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égard du réseau, des bénéficiaires, des donateurs et d</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autres parties prenantes directement et indirectement impliquées).</w:t>
      </w:r>
    </w:p>
    <w:p w14:paraId="494AF492" w14:textId="6F671331" w:rsidR="000759DD" w:rsidRPr="00BD3D80" w:rsidRDefault="000759DD" w:rsidP="000759DD">
      <w:pPr>
        <w:jc w:val="both"/>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b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Avantages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Ce processus devrait aider les Alliances de la société civile à communiquer leur impact au niveau local, infranational, national, régional et mondial et devrait garantir que chaque Alliance dispose d</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un système MEAL rentable, intelligent, utile et durable pour améliorer la mise en œuvre, l</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apprentissage et la redevabilité. En partageant la </w:t>
      </w:r>
      <w:proofErr w:type="spellStart"/>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TdC</w:t>
      </w:r>
      <w:proofErr w:type="spellEnd"/>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nous pourrons </w:t>
      </w:r>
      <w:r w:rsidR="0027765E">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plus facilement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analyser, partager et tirer </w:t>
      </w:r>
      <w:r w:rsidR="0027765E">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des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enseignement</w:t>
      </w:r>
      <w:r w:rsidR="00747809">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s</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entre les pays.</w:t>
      </w:r>
    </w:p>
    <w:p w14:paraId="5B9554FC" w14:textId="77A86AD5" w:rsidR="000759DD" w:rsidRPr="00BD3D80" w:rsidRDefault="000759DD" w:rsidP="000759DD">
      <w:pPr>
        <w:jc w:val="both"/>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b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Combler les lacunes en matière de connaissances entre les pays, au niveau régional et mondial :</w:t>
      </w:r>
      <w:r w:rsidR="00C26CAB">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Tandis que les Alliances de la société civile se chargeront du MEAL au niveau national, le </w:t>
      </w:r>
      <w:r w:rsidR="003C203B">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S</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ecrétariat du </w:t>
      </w:r>
      <w:r w:rsidR="00716DEB">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Réseau de la société civile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sera en mesure de regrouper les résultats des différents pays et de faciliter le partage des enseignements sur les progrès réalisés. En tant que </w:t>
      </w:r>
      <w:r w:rsidR="003C203B">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S</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ecrétariat, nous pourrons </w:t>
      </w:r>
      <w:r w:rsidR="003C203B">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réclamer</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que les besoins des </w:t>
      </w:r>
      <w:r w:rsidR="003C203B">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lliances de la société civile soient satisfaits et communiquer plus efficacement avec les donateurs ou toute partie prenante qui souhaite participer au réseau. </w:t>
      </w:r>
    </w:p>
    <w:p w14:paraId="0AEA407C" w14:textId="3FBB7CAD" w:rsidR="000759DD" w:rsidRPr="00BD3D80" w:rsidRDefault="000759DD" w:rsidP="000759DD">
      <w:pPr>
        <w:jc w:val="both"/>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bCs/>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Gestion des données et partage des connaissances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Les données recueillies seront en permanence à la disposition de</w:t>
      </w:r>
      <w:r w:rsidR="00713FD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 toutes le</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s Alliances de la société civile, des webinaires d</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apprentissage ou des réunions en face à face seront organisés pour faire le point sur les progrès et les défis et pour discuter de la planification de l</w:t>
      </w:r>
      <w:r w:rsidR="002C54BD">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année suivante. Un système de gestion des données et </w:t>
      </w:r>
      <w:r w:rsidR="001329F3">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d</w:t>
      </w:r>
      <w:r w:rsidR="00713FDA">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es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informations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en ligne sera mis au point par le </w:t>
      </w:r>
      <w:r w:rsidR="00716DEB">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Réseau de la société civile </w:t>
      </w:r>
      <w:r>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t xml:space="preserve">afin de faciliter le partage des données et leur utilisation par toutes les Alliances. </w:t>
      </w:r>
    </w:p>
    <w:p w14:paraId="1BDC116E" w14:textId="77777777" w:rsidR="000759DD" w:rsidRPr="00BD3D80" w:rsidRDefault="000759DD" w:rsidP="000759DD">
      <w:pPr>
        <w:jc w:val="both"/>
        <w:rPr>
          <w:rFonts w:ascii="Arial" w:hAnsi="Arial" w:cs="Arial"/>
          <w:color w:val="000000" w:themeColor="text1"/>
          <w:sz w:val="20"/>
          <w:szCs w:val="20"/>
          <w:lang w:val="fr-FR"/>
          <w14:textOutline w14:w="0" w14:cap="flat" w14:cmpd="sng" w14:algn="ctr">
            <w14:noFill/>
            <w14:prstDash w14:val="solid"/>
            <w14:round/>
          </w14:textOutline>
          <w14:props3d w14:extrusionH="57150" w14:contourW="0" w14:prstMaterial="softEdge">
            <w14:bevelT w14:w="25400" w14:h="38100" w14:prst="circle"/>
          </w14:props3d>
        </w:rPr>
      </w:pPr>
    </w:p>
    <w:p w14:paraId="0BFCDFFE" w14:textId="6A389DD8" w:rsidR="00803B4E" w:rsidRPr="00BD3D80" w:rsidRDefault="002C3674" w:rsidP="00AF221E">
      <w:pPr>
        <w:jc w:val="center"/>
        <w:rPr>
          <w:b/>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pPr>
      <w:r>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Théorie du changement de la société civile SUN</w:t>
      </w:r>
    </w:p>
    <w:p w14:paraId="12B10F57" w14:textId="4C3CFD23" w:rsidR="00803B4E" w:rsidRDefault="00860DD1" w:rsidP="00AF221E">
      <w:pPr>
        <w:jc w:val="center"/>
        <w:rPr>
          <w:b/>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sectPr w:rsidR="00803B4E" w:rsidSect="005D60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93" w:left="1440" w:header="708" w:footer="708" w:gutter="0"/>
          <w:cols w:space="708"/>
          <w:docGrid w:linePitch="360"/>
        </w:sectPr>
      </w:pPr>
      <w:r w:rsidRPr="00860DD1">
        <w:rPr>
          <w:b/>
          <w:noProof/>
          <w:color w:val="FFC000" w:themeColor="accent4"/>
          <w:sz w:val="36"/>
          <w:szCs w:val="36"/>
          <w14:textOutline w14:w="0" w14:cap="flat" w14:cmpd="sng" w14:algn="ctr">
            <w14:noFill/>
            <w14:prstDash w14:val="solid"/>
            <w14:round/>
          </w14:textOutline>
          <w14:props3d w14:extrusionH="57150" w14:contourW="0" w14:prstMaterial="softEdge">
            <w14:bevelT w14:w="25400" w14:h="38100" w14:prst="circle"/>
          </w14:props3d>
        </w:rPr>
        <w:drawing>
          <wp:inline distT="0" distB="0" distL="0" distR="0" wp14:anchorId="5AC7FB55" wp14:editId="07F0AC30">
            <wp:extent cx="5731510" cy="3537585"/>
            <wp:effectExtent l="0" t="0" r="2540" b="5715"/>
            <wp:docPr id="2050" name="Picture 2">
              <a:extLst xmlns:a="http://schemas.openxmlformats.org/drawingml/2006/main">
                <a:ext uri="{FF2B5EF4-FFF2-40B4-BE49-F238E27FC236}">
                  <a16:creationId xmlns:a16="http://schemas.microsoft.com/office/drawing/2014/main" id="{83E6A797-621F-414A-A9B4-70355AD8F3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83E6A797-621F-414A-A9B4-70355AD8F30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537585"/>
                    </a:xfrm>
                    <a:prstGeom prst="rect">
                      <a:avLst/>
                    </a:prstGeom>
                    <a:noFill/>
                  </pic:spPr>
                </pic:pic>
              </a:graphicData>
            </a:graphic>
          </wp:inline>
        </w:drawing>
      </w:r>
    </w:p>
    <w:p w14:paraId="7BB68754" w14:textId="6FE97146" w:rsidR="005F27FA" w:rsidRPr="00BD3D80" w:rsidRDefault="005F27FA">
      <w:pPr>
        <w:rPr>
          <w:b/>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pPr>
      <w:r>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lastRenderedPageBreak/>
        <w:t>Exemple de «</w:t>
      </w:r>
      <w:r w:rsidR="002C54BD">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 </w:t>
      </w:r>
      <w:r>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cadre logique pour le changement</w:t>
      </w:r>
      <w:r w:rsidR="002C54BD">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 </w:t>
      </w:r>
      <w:r>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 d</w:t>
      </w:r>
      <w:r w:rsidR="002C54BD">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w:t>
      </w:r>
      <w:r>
        <w:rPr>
          <w:b/>
          <w:bCs/>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t>une Alliance de la société civile</w:t>
      </w:r>
    </w:p>
    <w:tbl>
      <w:tblPr>
        <w:tblStyle w:val="TableGrid"/>
        <w:tblW w:w="4725" w:type="pct"/>
        <w:tblLook w:val="04A0" w:firstRow="1" w:lastRow="0" w:firstColumn="1" w:lastColumn="0" w:noHBand="0" w:noVBand="1"/>
      </w:tblPr>
      <w:tblGrid>
        <w:gridCol w:w="2674"/>
        <w:gridCol w:w="3076"/>
        <w:gridCol w:w="1670"/>
        <w:gridCol w:w="114"/>
        <w:gridCol w:w="1562"/>
        <w:gridCol w:w="2112"/>
        <w:gridCol w:w="2395"/>
      </w:tblGrid>
      <w:tr w:rsidR="001634E2" w:rsidRPr="00880085" w14:paraId="551F3188" w14:textId="77777777" w:rsidTr="001634E2">
        <w:trPr>
          <w:trHeight w:val="70"/>
        </w:trPr>
        <w:tc>
          <w:tcPr>
            <w:tcW w:w="1021" w:type="pct"/>
            <w:shd w:val="clear" w:color="auto" w:fill="ED7D31" w:themeFill="accent2"/>
          </w:tcPr>
          <w:p w14:paraId="4E73757F" w14:textId="191366C5" w:rsidR="00803B4E" w:rsidRPr="001634E2" w:rsidRDefault="00803B4E" w:rsidP="001634E2">
            <w:pPr>
              <w:rPr>
                <w:rFonts w:eastAsia="Times New Roman" w:cs="Arial"/>
                <w:b/>
                <w:color w:val="000000"/>
                <w:sz w:val="16"/>
                <w:szCs w:val="16"/>
              </w:rPr>
            </w:pPr>
            <w:r>
              <w:rPr>
                <w:rFonts w:eastAsia="Times New Roman" w:cs="Arial"/>
                <w:b/>
                <w:bCs/>
                <w:color w:val="000000"/>
                <w:sz w:val="16"/>
                <w:szCs w:val="16"/>
                <w:lang w:val="fr-FR"/>
              </w:rPr>
              <w:t>Niveau de changement</w:t>
            </w:r>
          </w:p>
        </w:tc>
        <w:tc>
          <w:tcPr>
            <w:tcW w:w="903" w:type="pct"/>
            <w:shd w:val="clear" w:color="auto" w:fill="ED7D31" w:themeFill="accent2"/>
          </w:tcPr>
          <w:p w14:paraId="3E6F5E1B" w14:textId="561E606D" w:rsidR="00803B4E" w:rsidRPr="001634E2" w:rsidRDefault="00803B4E" w:rsidP="001634E2">
            <w:pPr>
              <w:rPr>
                <w:rFonts w:eastAsia="Times New Roman" w:cs="Arial"/>
                <w:b/>
                <w:color w:val="000000"/>
                <w:sz w:val="16"/>
                <w:szCs w:val="16"/>
              </w:rPr>
            </w:pPr>
            <w:r>
              <w:rPr>
                <w:rFonts w:eastAsia="Times New Roman" w:cs="Arial"/>
                <w:b/>
                <w:bCs/>
                <w:color w:val="000000"/>
                <w:sz w:val="16"/>
                <w:szCs w:val="16"/>
                <w:lang w:val="fr-FR"/>
              </w:rPr>
              <w:t>Indicateur</w:t>
            </w:r>
          </w:p>
        </w:tc>
        <w:tc>
          <w:tcPr>
            <w:tcW w:w="652" w:type="pct"/>
            <w:shd w:val="clear" w:color="auto" w:fill="ED7D31" w:themeFill="accent2"/>
          </w:tcPr>
          <w:p w14:paraId="18DC78E3" w14:textId="66661F2B" w:rsidR="00803B4E" w:rsidRPr="001634E2" w:rsidRDefault="00803B4E" w:rsidP="001634E2">
            <w:pPr>
              <w:rPr>
                <w:rFonts w:eastAsia="Times New Roman" w:cs="Arial"/>
                <w:b/>
                <w:color w:val="000000"/>
                <w:sz w:val="16"/>
                <w:szCs w:val="16"/>
              </w:rPr>
            </w:pPr>
            <w:r>
              <w:rPr>
                <w:rFonts w:eastAsia="Times New Roman" w:cs="Arial"/>
                <w:b/>
                <w:bCs/>
                <w:color w:val="000000"/>
                <w:sz w:val="16"/>
                <w:szCs w:val="16"/>
                <w:lang w:val="fr-FR"/>
              </w:rPr>
              <w:t>Moyens de vérification</w:t>
            </w:r>
          </w:p>
        </w:tc>
        <w:tc>
          <w:tcPr>
            <w:tcW w:w="691" w:type="pct"/>
            <w:gridSpan w:val="2"/>
            <w:shd w:val="clear" w:color="auto" w:fill="ED7D31" w:themeFill="accent2"/>
          </w:tcPr>
          <w:p w14:paraId="275D0394" w14:textId="4A281102" w:rsidR="00803B4E" w:rsidRPr="001634E2" w:rsidRDefault="00803B4E" w:rsidP="001634E2">
            <w:pPr>
              <w:rPr>
                <w:rFonts w:eastAsia="Times New Roman" w:cs="Arial"/>
                <w:b/>
                <w:color w:val="000000"/>
                <w:sz w:val="16"/>
                <w:szCs w:val="16"/>
              </w:rPr>
            </w:pPr>
            <w:r>
              <w:rPr>
                <w:rFonts w:eastAsia="Times New Roman" w:cs="Arial"/>
                <w:b/>
                <w:bCs/>
                <w:color w:val="000000"/>
                <w:sz w:val="16"/>
                <w:szCs w:val="16"/>
                <w:lang w:val="fr-FR"/>
              </w:rPr>
              <w:t>Base de référence (2017)</w:t>
            </w:r>
          </w:p>
        </w:tc>
        <w:tc>
          <w:tcPr>
            <w:tcW w:w="814" w:type="pct"/>
            <w:shd w:val="clear" w:color="auto" w:fill="ED7D31" w:themeFill="accent2"/>
          </w:tcPr>
          <w:p w14:paraId="517A0AE6" w14:textId="5DE86E0E" w:rsidR="00803B4E" w:rsidRPr="001634E2" w:rsidRDefault="000360D3" w:rsidP="001634E2">
            <w:pPr>
              <w:rPr>
                <w:rFonts w:eastAsia="Times New Roman" w:cs="Arial"/>
                <w:b/>
                <w:color w:val="000000"/>
                <w:sz w:val="16"/>
                <w:szCs w:val="16"/>
              </w:rPr>
            </w:pPr>
            <w:r>
              <w:rPr>
                <w:rFonts w:eastAsia="Times New Roman" w:cs="Arial"/>
                <w:b/>
                <w:bCs/>
                <w:color w:val="000000"/>
                <w:sz w:val="16"/>
                <w:szCs w:val="16"/>
                <w:lang w:val="fr-FR"/>
              </w:rPr>
              <w:t>Cible annuelle</w:t>
            </w:r>
          </w:p>
        </w:tc>
        <w:tc>
          <w:tcPr>
            <w:tcW w:w="918" w:type="pct"/>
            <w:shd w:val="clear" w:color="auto" w:fill="ED7D31" w:themeFill="accent2"/>
          </w:tcPr>
          <w:p w14:paraId="5200F245" w14:textId="38D2FCA2" w:rsidR="00803B4E" w:rsidRPr="00BD3D80" w:rsidRDefault="000360D3" w:rsidP="001634E2">
            <w:pPr>
              <w:rPr>
                <w:rFonts w:eastAsia="Times New Roman" w:cs="Arial"/>
                <w:b/>
                <w:color w:val="000000"/>
                <w:sz w:val="16"/>
                <w:szCs w:val="16"/>
                <w:lang w:val="fr-FR"/>
              </w:rPr>
            </w:pPr>
            <w:r>
              <w:rPr>
                <w:rFonts w:eastAsia="Times New Roman" w:cs="Arial"/>
                <w:b/>
                <w:bCs/>
                <w:color w:val="000000"/>
                <w:sz w:val="16"/>
                <w:szCs w:val="16"/>
                <w:lang w:val="fr-FR"/>
              </w:rPr>
              <w:t xml:space="preserve">Cible </w:t>
            </w:r>
            <w:r w:rsidR="00803B4E">
              <w:rPr>
                <w:rFonts w:eastAsia="Times New Roman" w:cs="Arial"/>
                <w:b/>
                <w:bCs/>
                <w:color w:val="000000"/>
                <w:sz w:val="16"/>
                <w:szCs w:val="16"/>
                <w:lang w:val="fr-FR"/>
              </w:rPr>
              <w:t>à long terme (5 ans)</w:t>
            </w:r>
          </w:p>
        </w:tc>
      </w:tr>
      <w:tr w:rsidR="00645FCB" w:rsidRPr="001634E2" w14:paraId="3806430C" w14:textId="77777777" w:rsidTr="001634E2">
        <w:trPr>
          <w:trHeight w:val="417"/>
        </w:trPr>
        <w:tc>
          <w:tcPr>
            <w:tcW w:w="5000" w:type="pct"/>
            <w:gridSpan w:val="7"/>
            <w:shd w:val="clear" w:color="auto" w:fill="FBE4D5" w:themeFill="accent2" w:themeFillTint="33"/>
          </w:tcPr>
          <w:p w14:paraId="5DEF1505" w14:textId="53CC4D1A" w:rsidR="00645FCB" w:rsidRPr="001634E2" w:rsidRDefault="00645FCB" w:rsidP="001634E2">
            <w:pPr>
              <w:rPr>
                <w:rFonts w:eastAsia="Times New Roman" w:cs="Arial"/>
                <w:b/>
                <w:color w:val="000000"/>
                <w:sz w:val="16"/>
                <w:szCs w:val="16"/>
              </w:rPr>
            </w:pPr>
            <w:r>
              <w:rPr>
                <w:rFonts w:eastAsia="Times New Roman" w:cs="Arial"/>
                <w:b/>
                <w:bCs/>
                <w:color w:val="000000"/>
                <w:sz w:val="16"/>
                <w:szCs w:val="16"/>
                <w:lang w:val="fr-FR"/>
              </w:rPr>
              <w:t>Portée générale</w:t>
            </w:r>
          </w:p>
        </w:tc>
      </w:tr>
      <w:tr w:rsidR="001634E2" w:rsidRPr="001634E2" w14:paraId="329EBE95" w14:textId="77777777" w:rsidTr="001634E2">
        <w:trPr>
          <w:trHeight w:val="417"/>
        </w:trPr>
        <w:tc>
          <w:tcPr>
            <w:tcW w:w="1021" w:type="pct"/>
          </w:tcPr>
          <w:p w14:paraId="049565CB" w14:textId="4C39DA1C" w:rsidR="001634E2" w:rsidRPr="001634E2" w:rsidRDefault="001634E2" w:rsidP="001634E2">
            <w:pPr>
              <w:rPr>
                <w:rFonts w:eastAsia="Times New Roman" w:cs="Arial"/>
                <w:b/>
                <w:color w:val="000000"/>
                <w:sz w:val="16"/>
                <w:szCs w:val="16"/>
              </w:rPr>
            </w:pPr>
            <w:r>
              <w:rPr>
                <w:rFonts w:eastAsia="Times New Roman" w:cs="Arial"/>
                <w:b/>
                <w:bCs/>
                <w:color w:val="000000"/>
                <w:sz w:val="16"/>
                <w:szCs w:val="16"/>
                <w:lang w:val="fr-FR"/>
              </w:rPr>
              <w:t>Décideurs</w:t>
            </w:r>
          </w:p>
        </w:tc>
        <w:tc>
          <w:tcPr>
            <w:tcW w:w="903" w:type="pct"/>
            <w:vMerge w:val="restart"/>
          </w:tcPr>
          <w:p w14:paraId="7BE50A62" w14:textId="77777777" w:rsidR="001634E2" w:rsidRPr="00BD3D80" w:rsidRDefault="001634E2" w:rsidP="001634E2">
            <w:pPr>
              <w:rPr>
                <w:rFonts w:eastAsia="Times New Roman" w:cs="Arial"/>
                <w:color w:val="000000"/>
                <w:sz w:val="16"/>
                <w:szCs w:val="16"/>
                <w:lang w:val="fr-FR"/>
              </w:rPr>
            </w:pPr>
          </w:p>
          <w:p w14:paraId="646B492A" w14:textId="77777777" w:rsidR="001634E2" w:rsidRPr="00BD3D80" w:rsidRDefault="001634E2" w:rsidP="001634E2">
            <w:pPr>
              <w:rPr>
                <w:rFonts w:eastAsia="Times New Roman" w:cs="Arial"/>
                <w:color w:val="000000"/>
                <w:sz w:val="16"/>
                <w:szCs w:val="16"/>
                <w:lang w:val="fr-FR"/>
              </w:rPr>
            </w:pPr>
          </w:p>
          <w:p w14:paraId="51E2B65C" w14:textId="77777777" w:rsidR="001634E2" w:rsidRPr="00BD3D80" w:rsidRDefault="001634E2" w:rsidP="001634E2">
            <w:pPr>
              <w:rPr>
                <w:rFonts w:eastAsia="Times New Roman" w:cs="Arial"/>
                <w:color w:val="000000"/>
                <w:sz w:val="16"/>
                <w:szCs w:val="16"/>
                <w:lang w:val="fr-FR"/>
              </w:rPr>
            </w:pPr>
          </w:p>
          <w:p w14:paraId="5C4F7BC8" w14:textId="77777777" w:rsidR="001634E2" w:rsidRPr="00BD3D80" w:rsidRDefault="001634E2" w:rsidP="001634E2">
            <w:pPr>
              <w:rPr>
                <w:rFonts w:eastAsia="Times New Roman" w:cs="Arial"/>
                <w:color w:val="000000"/>
                <w:sz w:val="16"/>
                <w:szCs w:val="16"/>
                <w:lang w:val="fr-FR"/>
              </w:rPr>
            </w:pPr>
          </w:p>
          <w:p w14:paraId="4518DF5B" w14:textId="77777777" w:rsidR="001634E2" w:rsidRPr="00BD3D80" w:rsidRDefault="001634E2" w:rsidP="001634E2">
            <w:pPr>
              <w:rPr>
                <w:rFonts w:eastAsia="Times New Roman" w:cs="Arial"/>
                <w:color w:val="000000"/>
                <w:sz w:val="16"/>
                <w:szCs w:val="16"/>
                <w:lang w:val="fr-FR"/>
              </w:rPr>
            </w:pPr>
          </w:p>
          <w:p w14:paraId="726ECDF9" w14:textId="3302558F" w:rsidR="001634E2" w:rsidRPr="00BD3D80" w:rsidRDefault="001634E2" w:rsidP="001634E2">
            <w:pPr>
              <w:rPr>
                <w:rFonts w:eastAsia="Times New Roman" w:cs="Arial"/>
                <w:color w:val="000000"/>
                <w:sz w:val="16"/>
                <w:szCs w:val="16"/>
                <w:lang w:val="fr-FR"/>
              </w:rPr>
            </w:pPr>
            <w:r>
              <w:rPr>
                <w:rFonts w:eastAsia="Times New Roman" w:cs="Arial"/>
                <w:color w:val="000000"/>
                <w:sz w:val="16"/>
                <w:szCs w:val="16"/>
                <w:lang w:val="fr-FR"/>
              </w:rPr>
              <w:t>Nombre de... (</w:t>
            </w:r>
            <w:r w:rsidR="000B5930">
              <w:rPr>
                <w:rFonts w:eastAsia="Times New Roman" w:cs="Arial"/>
                <w:color w:val="000000"/>
                <w:sz w:val="16"/>
                <w:szCs w:val="16"/>
                <w:lang w:val="fr-FR"/>
              </w:rPr>
              <w:t xml:space="preserve">ventilation </w:t>
            </w:r>
            <w:r>
              <w:rPr>
                <w:rFonts w:eastAsia="Times New Roman" w:cs="Arial"/>
                <w:color w:val="000000"/>
                <w:sz w:val="16"/>
                <w:szCs w:val="16"/>
                <w:lang w:val="fr-FR"/>
              </w:rPr>
              <w:t>par sexe)</w:t>
            </w:r>
          </w:p>
        </w:tc>
        <w:tc>
          <w:tcPr>
            <w:tcW w:w="698" w:type="pct"/>
            <w:gridSpan w:val="2"/>
            <w:vMerge w:val="restart"/>
          </w:tcPr>
          <w:p w14:paraId="1FE0B043" w14:textId="6CDAD843" w:rsidR="001634E2" w:rsidRPr="00BD3D80" w:rsidRDefault="001634E2" w:rsidP="001634E2">
            <w:pPr>
              <w:rPr>
                <w:rFonts w:eastAsia="Times New Roman" w:cs="Arial"/>
                <w:b/>
                <w:color w:val="000000"/>
                <w:sz w:val="16"/>
                <w:szCs w:val="16"/>
                <w:lang w:val="fr-FR"/>
              </w:rPr>
            </w:pPr>
            <w:r>
              <w:rPr>
                <w:rFonts w:eastAsia="Times New Roman" w:cs="Arial"/>
                <w:color w:val="000000"/>
                <w:sz w:val="16"/>
                <w:szCs w:val="16"/>
                <w:lang w:val="fr-FR"/>
              </w:rPr>
              <w:t>Registre des parties prenantes (S&amp;E ASC)</w:t>
            </w:r>
          </w:p>
        </w:tc>
        <w:tc>
          <w:tcPr>
            <w:tcW w:w="646" w:type="pct"/>
          </w:tcPr>
          <w:p w14:paraId="09D6B5E9" w14:textId="22A76EEA" w:rsidR="001634E2" w:rsidRPr="001634E2" w:rsidRDefault="001634E2" w:rsidP="001634E2">
            <w:pPr>
              <w:rPr>
                <w:rFonts w:eastAsia="Times New Roman" w:cs="Arial"/>
                <w:b/>
                <w:color w:val="000000"/>
                <w:sz w:val="16"/>
                <w:szCs w:val="16"/>
              </w:rPr>
            </w:pPr>
            <w:r>
              <w:rPr>
                <w:rFonts w:eastAsia="Times New Roman" w:cs="Arial"/>
                <w:color w:val="000000"/>
                <w:sz w:val="16"/>
                <w:szCs w:val="16"/>
                <w:lang w:val="fr-FR"/>
              </w:rPr>
              <w:t>10 (2 femmes)</w:t>
            </w:r>
          </w:p>
        </w:tc>
        <w:tc>
          <w:tcPr>
            <w:tcW w:w="814" w:type="pct"/>
          </w:tcPr>
          <w:p w14:paraId="0D0D6EA2" w14:textId="0C56C221" w:rsidR="001634E2" w:rsidRPr="001634E2" w:rsidRDefault="001634E2" w:rsidP="001634E2">
            <w:pPr>
              <w:rPr>
                <w:rFonts w:eastAsia="Times New Roman" w:cs="Arial"/>
                <w:b/>
                <w:color w:val="000000"/>
                <w:sz w:val="16"/>
                <w:szCs w:val="16"/>
              </w:rPr>
            </w:pPr>
            <w:r>
              <w:rPr>
                <w:rFonts w:eastAsia="Times New Roman" w:cs="Arial"/>
                <w:color w:val="000000"/>
                <w:sz w:val="16"/>
                <w:szCs w:val="16"/>
                <w:lang w:val="fr-FR"/>
              </w:rPr>
              <w:t>15 (5 femmes)</w:t>
            </w:r>
          </w:p>
        </w:tc>
        <w:tc>
          <w:tcPr>
            <w:tcW w:w="918" w:type="pct"/>
          </w:tcPr>
          <w:p w14:paraId="5759FF29" w14:textId="7B99153B" w:rsidR="001634E2" w:rsidRPr="001634E2" w:rsidRDefault="001634E2" w:rsidP="001634E2">
            <w:pPr>
              <w:rPr>
                <w:rFonts w:eastAsia="Times New Roman" w:cs="Arial"/>
                <w:b/>
                <w:color w:val="000000"/>
                <w:sz w:val="16"/>
                <w:szCs w:val="16"/>
              </w:rPr>
            </w:pPr>
            <w:r>
              <w:rPr>
                <w:rFonts w:eastAsia="Times New Roman" w:cs="Arial"/>
                <w:color w:val="000000"/>
                <w:sz w:val="16"/>
                <w:szCs w:val="16"/>
                <w:lang w:val="fr-FR"/>
              </w:rPr>
              <w:t>30 (50 </w:t>
            </w:r>
            <w:r w:rsidR="00AD7C8C">
              <w:rPr>
                <w:rFonts w:eastAsia="Times New Roman" w:cs="Arial"/>
                <w:color w:val="000000"/>
                <w:sz w:val="16"/>
                <w:szCs w:val="16"/>
                <w:lang w:val="fr-FR"/>
              </w:rPr>
              <w:t xml:space="preserve">% </w:t>
            </w:r>
            <w:r>
              <w:rPr>
                <w:rFonts w:eastAsia="Times New Roman" w:cs="Arial"/>
                <w:color w:val="000000"/>
                <w:sz w:val="16"/>
                <w:szCs w:val="16"/>
                <w:lang w:val="fr-FR"/>
              </w:rPr>
              <w:t>de femmes)</w:t>
            </w:r>
          </w:p>
        </w:tc>
      </w:tr>
      <w:tr w:rsidR="001634E2" w:rsidRPr="001634E2" w14:paraId="14B50E76" w14:textId="77777777" w:rsidTr="001634E2">
        <w:trPr>
          <w:trHeight w:val="417"/>
        </w:trPr>
        <w:tc>
          <w:tcPr>
            <w:tcW w:w="1021" w:type="pct"/>
          </w:tcPr>
          <w:p w14:paraId="385F56FF" w14:textId="1E863D4D" w:rsidR="001634E2" w:rsidRPr="001634E2" w:rsidRDefault="001634E2" w:rsidP="001634E2">
            <w:pPr>
              <w:rPr>
                <w:rFonts w:eastAsia="Times New Roman" w:cs="Arial"/>
                <w:b/>
                <w:color w:val="000000"/>
                <w:sz w:val="16"/>
                <w:szCs w:val="16"/>
              </w:rPr>
            </w:pPr>
            <w:r>
              <w:rPr>
                <w:rFonts w:eastAsia="Times New Roman" w:cs="Arial"/>
                <w:b/>
                <w:bCs/>
                <w:color w:val="000000"/>
                <w:sz w:val="16"/>
                <w:szCs w:val="16"/>
                <w:lang w:val="fr-FR"/>
              </w:rPr>
              <w:t>ONU – Donateurs – Chef</w:t>
            </w:r>
            <w:r w:rsidR="00163071">
              <w:rPr>
                <w:rFonts w:eastAsia="Times New Roman" w:cs="Arial"/>
                <w:b/>
                <w:bCs/>
                <w:color w:val="000000"/>
                <w:sz w:val="16"/>
                <w:szCs w:val="16"/>
                <w:lang w:val="fr-FR"/>
              </w:rPr>
              <w:t>s</w:t>
            </w:r>
            <w:r>
              <w:rPr>
                <w:rFonts w:eastAsia="Times New Roman" w:cs="Arial"/>
                <w:b/>
                <w:bCs/>
                <w:color w:val="000000"/>
                <w:sz w:val="16"/>
                <w:szCs w:val="16"/>
                <w:lang w:val="fr-FR"/>
              </w:rPr>
              <w:t xml:space="preserve"> religieux</w:t>
            </w:r>
          </w:p>
        </w:tc>
        <w:tc>
          <w:tcPr>
            <w:tcW w:w="903" w:type="pct"/>
            <w:vMerge/>
          </w:tcPr>
          <w:p w14:paraId="3C994543" w14:textId="77777777" w:rsidR="001634E2" w:rsidRPr="001634E2" w:rsidRDefault="001634E2" w:rsidP="001634E2">
            <w:pPr>
              <w:rPr>
                <w:rFonts w:eastAsia="Times New Roman" w:cs="Arial"/>
                <w:b/>
                <w:color w:val="000000"/>
                <w:sz w:val="16"/>
                <w:szCs w:val="16"/>
              </w:rPr>
            </w:pPr>
          </w:p>
        </w:tc>
        <w:tc>
          <w:tcPr>
            <w:tcW w:w="698" w:type="pct"/>
            <w:gridSpan w:val="2"/>
            <w:vMerge/>
          </w:tcPr>
          <w:p w14:paraId="5F02DFE6" w14:textId="77777777" w:rsidR="001634E2" w:rsidRPr="001634E2" w:rsidRDefault="001634E2" w:rsidP="001634E2">
            <w:pPr>
              <w:rPr>
                <w:rFonts w:eastAsia="Times New Roman" w:cs="Arial"/>
                <w:b/>
                <w:color w:val="000000"/>
                <w:sz w:val="16"/>
                <w:szCs w:val="16"/>
              </w:rPr>
            </w:pPr>
          </w:p>
        </w:tc>
        <w:tc>
          <w:tcPr>
            <w:tcW w:w="646" w:type="pct"/>
          </w:tcPr>
          <w:p w14:paraId="0C2CB516" w14:textId="77777777" w:rsidR="001634E2" w:rsidRPr="00BD3D80" w:rsidRDefault="001634E2" w:rsidP="001634E2">
            <w:pPr>
              <w:rPr>
                <w:rFonts w:eastAsia="Times New Roman" w:cs="Arial"/>
                <w:color w:val="000000"/>
                <w:sz w:val="16"/>
                <w:szCs w:val="16"/>
                <w:lang w:val="fr-FR"/>
              </w:rPr>
            </w:pPr>
            <w:r>
              <w:rPr>
                <w:rFonts w:eastAsia="Times New Roman" w:cs="Arial"/>
                <w:color w:val="000000"/>
                <w:sz w:val="16"/>
                <w:szCs w:val="16"/>
                <w:lang w:val="fr-FR"/>
              </w:rPr>
              <w:t xml:space="preserve">ONU </w:t>
            </w:r>
            <w:r>
              <w:rPr>
                <w:rFonts w:eastAsia="Times New Roman" w:cs="Arial"/>
                <w:b/>
                <w:bCs/>
                <w:color w:val="000000"/>
                <w:sz w:val="16"/>
                <w:szCs w:val="16"/>
                <w:lang w:val="fr-FR"/>
              </w:rPr>
              <w:t>–</w:t>
            </w:r>
            <w:r>
              <w:rPr>
                <w:rFonts w:eastAsia="Times New Roman" w:cs="Arial"/>
                <w:color w:val="000000"/>
                <w:sz w:val="16"/>
                <w:szCs w:val="16"/>
                <w:lang w:val="fr-FR"/>
              </w:rPr>
              <w:t xml:space="preserve"> 2 rep.</w:t>
            </w:r>
          </w:p>
          <w:p w14:paraId="2A2BB4C8" w14:textId="77777777" w:rsidR="001634E2" w:rsidRPr="00BD3D80" w:rsidRDefault="001634E2" w:rsidP="001634E2">
            <w:pPr>
              <w:rPr>
                <w:rFonts w:eastAsia="Times New Roman" w:cs="Arial"/>
                <w:color w:val="000000"/>
                <w:sz w:val="16"/>
                <w:szCs w:val="16"/>
                <w:lang w:val="fr-FR"/>
              </w:rPr>
            </w:pPr>
            <w:r>
              <w:rPr>
                <w:rFonts w:eastAsia="Times New Roman" w:cs="Arial"/>
                <w:color w:val="000000"/>
                <w:sz w:val="16"/>
                <w:szCs w:val="16"/>
                <w:lang w:val="fr-FR"/>
              </w:rPr>
              <w:t>Donateur – 0</w:t>
            </w:r>
          </w:p>
          <w:p w14:paraId="0C545C1D" w14:textId="5D7964B5" w:rsidR="001634E2" w:rsidRPr="00BD3D80" w:rsidRDefault="001634E2" w:rsidP="001634E2">
            <w:pPr>
              <w:rPr>
                <w:rFonts w:eastAsia="Times New Roman" w:cs="Arial"/>
                <w:b/>
                <w:color w:val="000000"/>
                <w:sz w:val="16"/>
                <w:szCs w:val="16"/>
                <w:lang w:val="fr-FR"/>
              </w:rPr>
            </w:pPr>
            <w:r>
              <w:rPr>
                <w:rFonts w:eastAsia="Times New Roman" w:cs="Arial"/>
                <w:color w:val="000000"/>
                <w:sz w:val="16"/>
                <w:szCs w:val="16"/>
                <w:lang w:val="fr-FR"/>
              </w:rPr>
              <w:t>Chef</w:t>
            </w:r>
            <w:r w:rsidR="00163071">
              <w:rPr>
                <w:rFonts w:eastAsia="Times New Roman" w:cs="Arial"/>
                <w:color w:val="000000"/>
                <w:sz w:val="16"/>
                <w:szCs w:val="16"/>
                <w:lang w:val="fr-FR"/>
              </w:rPr>
              <w:t>s</w:t>
            </w:r>
            <w:r>
              <w:rPr>
                <w:rFonts w:eastAsia="Times New Roman" w:cs="Arial"/>
                <w:color w:val="000000"/>
                <w:sz w:val="16"/>
                <w:szCs w:val="16"/>
                <w:lang w:val="fr-FR"/>
              </w:rPr>
              <w:t xml:space="preserve"> religieux </w:t>
            </w:r>
            <w:r>
              <w:rPr>
                <w:rFonts w:eastAsia="Times New Roman" w:cs="Arial"/>
                <w:b/>
                <w:bCs/>
                <w:color w:val="000000"/>
                <w:sz w:val="16"/>
                <w:szCs w:val="16"/>
                <w:lang w:val="fr-FR"/>
              </w:rPr>
              <w:t>–</w:t>
            </w:r>
            <w:r>
              <w:rPr>
                <w:rFonts w:eastAsia="Times New Roman" w:cs="Arial"/>
                <w:color w:val="000000"/>
                <w:sz w:val="16"/>
                <w:szCs w:val="16"/>
                <w:lang w:val="fr-FR"/>
              </w:rPr>
              <w:t xml:space="preserve"> 2</w:t>
            </w:r>
          </w:p>
        </w:tc>
        <w:tc>
          <w:tcPr>
            <w:tcW w:w="814" w:type="pct"/>
          </w:tcPr>
          <w:p w14:paraId="7DE6BC25" w14:textId="77777777" w:rsidR="001634E2" w:rsidRPr="001634E2" w:rsidRDefault="001634E2" w:rsidP="001634E2">
            <w:pPr>
              <w:rPr>
                <w:rFonts w:eastAsia="Times New Roman" w:cs="Arial"/>
                <w:color w:val="000000"/>
                <w:sz w:val="16"/>
                <w:szCs w:val="16"/>
              </w:rPr>
            </w:pPr>
            <w:r>
              <w:rPr>
                <w:rFonts w:eastAsia="Times New Roman" w:cs="Arial"/>
                <w:color w:val="000000"/>
                <w:sz w:val="16"/>
                <w:szCs w:val="16"/>
                <w:lang w:val="fr-FR"/>
              </w:rPr>
              <w:t>ONU : 7</w:t>
            </w:r>
          </w:p>
          <w:p w14:paraId="17CCDE51" w14:textId="77777777" w:rsidR="001634E2" w:rsidRPr="001634E2" w:rsidRDefault="001634E2" w:rsidP="001634E2">
            <w:pPr>
              <w:rPr>
                <w:rFonts w:eastAsia="Times New Roman" w:cs="Arial"/>
                <w:color w:val="000000"/>
                <w:sz w:val="16"/>
                <w:szCs w:val="16"/>
              </w:rPr>
            </w:pPr>
            <w:r>
              <w:rPr>
                <w:rFonts w:eastAsia="Times New Roman" w:cs="Arial"/>
                <w:color w:val="000000"/>
                <w:sz w:val="16"/>
                <w:szCs w:val="16"/>
                <w:lang w:val="fr-FR"/>
              </w:rPr>
              <w:t>Donateur : 1</w:t>
            </w:r>
          </w:p>
          <w:p w14:paraId="1B5E8B0C" w14:textId="67E97089" w:rsidR="001634E2" w:rsidRPr="001634E2" w:rsidRDefault="001634E2" w:rsidP="001634E2">
            <w:pPr>
              <w:rPr>
                <w:rFonts w:eastAsia="Times New Roman" w:cs="Arial"/>
                <w:b/>
                <w:color w:val="000000"/>
                <w:sz w:val="16"/>
                <w:szCs w:val="16"/>
              </w:rPr>
            </w:pPr>
            <w:r>
              <w:rPr>
                <w:rFonts w:eastAsia="Times New Roman" w:cs="Arial"/>
                <w:color w:val="000000"/>
                <w:sz w:val="16"/>
                <w:szCs w:val="16"/>
                <w:lang w:val="fr-FR"/>
              </w:rPr>
              <w:t>Chef</w:t>
            </w:r>
            <w:r w:rsidR="00163071">
              <w:rPr>
                <w:rFonts w:eastAsia="Times New Roman" w:cs="Arial"/>
                <w:color w:val="000000"/>
                <w:sz w:val="16"/>
                <w:szCs w:val="16"/>
                <w:lang w:val="fr-FR"/>
              </w:rPr>
              <w:t>s</w:t>
            </w:r>
            <w:r>
              <w:rPr>
                <w:rFonts w:eastAsia="Times New Roman" w:cs="Arial"/>
                <w:color w:val="000000"/>
                <w:sz w:val="16"/>
                <w:szCs w:val="16"/>
                <w:lang w:val="fr-FR"/>
              </w:rPr>
              <w:t xml:space="preserve"> religieux : 4</w:t>
            </w:r>
          </w:p>
        </w:tc>
        <w:tc>
          <w:tcPr>
            <w:tcW w:w="918" w:type="pct"/>
          </w:tcPr>
          <w:p w14:paraId="34747EB2" w14:textId="77777777" w:rsidR="001634E2" w:rsidRPr="001634E2" w:rsidRDefault="001634E2" w:rsidP="001634E2">
            <w:pPr>
              <w:rPr>
                <w:rFonts w:eastAsia="Times New Roman" w:cs="Arial"/>
                <w:color w:val="000000"/>
                <w:sz w:val="16"/>
                <w:szCs w:val="16"/>
              </w:rPr>
            </w:pPr>
            <w:r>
              <w:rPr>
                <w:rFonts w:eastAsia="Times New Roman" w:cs="Arial"/>
                <w:color w:val="000000"/>
                <w:sz w:val="16"/>
                <w:szCs w:val="16"/>
                <w:lang w:val="fr-FR"/>
              </w:rPr>
              <w:t xml:space="preserve">ONU : 10 </w:t>
            </w:r>
          </w:p>
          <w:p w14:paraId="742D3BDE" w14:textId="018F288A" w:rsidR="001634E2" w:rsidRPr="001634E2" w:rsidRDefault="001634E2" w:rsidP="001634E2">
            <w:pPr>
              <w:rPr>
                <w:rFonts w:eastAsia="Times New Roman" w:cs="Arial"/>
                <w:color w:val="000000"/>
                <w:sz w:val="16"/>
                <w:szCs w:val="16"/>
              </w:rPr>
            </w:pPr>
            <w:r>
              <w:rPr>
                <w:rFonts w:eastAsia="Times New Roman" w:cs="Arial"/>
                <w:color w:val="000000"/>
                <w:sz w:val="16"/>
                <w:szCs w:val="16"/>
                <w:lang w:val="fr-FR"/>
              </w:rPr>
              <w:t>Donateur</w:t>
            </w:r>
            <w:r w:rsidR="00163071">
              <w:rPr>
                <w:rFonts w:eastAsia="Times New Roman" w:cs="Arial"/>
                <w:color w:val="000000"/>
                <w:sz w:val="16"/>
                <w:szCs w:val="16"/>
                <w:lang w:val="fr-FR"/>
              </w:rPr>
              <w:t>s</w:t>
            </w:r>
            <w:r>
              <w:rPr>
                <w:rFonts w:eastAsia="Times New Roman" w:cs="Arial"/>
                <w:color w:val="000000"/>
                <w:sz w:val="16"/>
                <w:szCs w:val="16"/>
                <w:lang w:val="fr-FR"/>
              </w:rPr>
              <w:t> : 5</w:t>
            </w:r>
          </w:p>
          <w:p w14:paraId="065E9F40" w14:textId="118E4FBA" w:rsidR="001634E2" w:rsidRPr="001634E2" w:rsidRDefault="001634E2" w:rsidP="001634E2">
            <w:pPr>
              <w:rPr>
                <w:rFonts w:eastAsia="Times New Roman" w:cs="Arial"/>
                <w:color w:val="000000"/>
                <w:sz w:val="16"/>
                <w:szCs w:val="16"/>
              </w:rPr>
            </w:pPr>
            <w:r>
              <w:rPr>
                <w:rFonts w:eastAsia="Times New Roman" w:cs="Arial"/>
                <w:color w:val="000000"/>
                <w:sz w:val="16"/>
                <w:szCs w:val="16"/>
                <w:lang w:val="fr-FR"/>
              </w:rPr>
              <w:t>Chef</w:t>
            </w:r>
            <w:r w:rsidR="00780AB3">
              <w:rPr>
                <w:rFonts w:eastAsia="Times New Roman" w:cs="Arial"/>
                <w:color w:val="000000"/>
                <w:sz w:val="16"/>
                <w:szCs w:val="16"/>
                <w:lang w:val="fr-FR"/>
              </w:rPr>
              <w:t>s</w:t>
            </w:r>
            <w:r>
              <w:rPr>
                <w:rFonts w:eastAsia="Times New Roman" w:cs="Arial"/>
                <w:color w:val="000000"/>
                <w:sz w:val="16"/>
                <w:szCs w:val="16"/>
                <w:lang w:val="fr-FR"/>
              </w:rPr>
              <w:t xml:space="preserve"> religieux : 8</w:t>
            </w:r>
          </w:p>
          <w:p w14:paraId="1508FBEA" w14:textId="77777777" w:rsidR="001634E2" w:rsidRPr="001634E2" w:rsidRDefault="001634E2" w:rsidP="001634E2">
            <w:pPr>
              <w:rPr>
                <w:rFonts w:eastAsia="Times New Roman" w:cs="Arial"/>
                <w:b/>
                <w:color w:val="000000"/>
                <w:sz w:val="16"/>
                <w:szCs w:val="16"/>
              </w:rPr>
            </w:pPr>
          </w:p>
        </w:tc>
      </w:tr>
      <w:tr w:rsidR="001634E2" w:rsidRPr="004B4A70" w14:paraId="19195B60" w14:textId="77777777" w:rsidTr="001634E2">
        <w:trPr>
          <w:trHeight w:val="70"/>
        </w:trPr>
        <w:tc>
          <w:tcPr>
            <w:tcW w:w="1021" w:type="pct"/>
          </w:tcPr>
          <w:p w14:paraId="485DFC3C" w14:textId="2C64F646" w:rsidR="001634E2" w:rsidRPr="00BD3D80" w:rsidRDefault="001634E2" w:rsidP="001634E2">
            <w:pPr>
              <w:rPr>
                <w:rFonts w:eastAsia="Times New Roman" w:cs="Arial"/>
                <w:b/>
                <w:color w:val="000000"/>
                <w:sz w:val="16"/>
                <w:szCs w:val="16"/>
                <w:lang w:val="fr-FR"/>
              </w:rPr>
            </w:pPr>
            <w:r>
              <w:rPr>
                <w:rFonts w:eastAsia="Times New Roman" w:cs="Arial"/>
                <w:b/>
                <w:bCs/>
                <w:color w:val="000000"/>
                <w:sz w:val="16"/>
                <w:szCs w:val="16"/>
                <w:lang w:val="fr-FR"/>
              </w:rPr>
              <w:t>Représentants des organisations de la société civile</w:t>
            </w:r>
          </w:p>
        </w:tc>
        <w:tc>
          <w:tcPr>
            <w:tcW w:w="903" w:type="pct"/>
            <w:vMerge/>
          </w:tcPr>
          <w:p w14:paraId="58A25F37" w14:textId="77777777" w:rsidR="001634E2" w:rsidRPr="00BD3D80" w:rsidRDefault="001634E2" w:rsidP="001634E2">
            <w:pPr>
              <w:rPr>
                <w:rFonts w:eastAsia="Times New Roman" w:cs="Arial"/>
                <w:b/>
                <w:color w:val="000000"/>
                <w:sz w:val="16"/>
                <w:szCs w:val="16"/>
                <w:lang w:val="fr-FR"/>
              </w:rPr>
            </w:pPr>
          </w:p>
        </w:tc>
        <w:tc>
          <w:tcPr>
            <w:tcW w:w="698" w:type="pct"/>
            <w:gridSpan w:val="2"/>
            <w:vMerge/>
          </w:tcPr>
          <w:p w14:paraId="682B9D84" w14:textId="77777777" w:rsidR="001634E2" w:rsidRPr="00BD3D80" w:rsidRDefault="001634E2" w:rsidP="001634E2">
            <w:pPr>
              <w:rPr>
                <w:rFonts w:eastAsia="Times New Roman" w:cs="Arial"/>
                <w:b/>
                <w:color w:val="000000"/>
                <w:sz w:val="16"/>
                <w:szCs w:val="16"/>
                <w:lang w:val="fr-FR"/>
              </w:rPr>
            </w:pPr>
          </w:p>
        </w:tc>
        <w:tc>
          <w:tcPr>
            <w:tcW w:w="646" w:type="pct"/>
          </w:tcPr>
          <w:p w14:paraId="6C46B74E" w14:textId="02A8DC50" w:rsidR="001634E2" w:rsidRPr="00BD3D80" w:rsidRDefault="001634E2" w:rsidP="001634E2">
            <w:pPr>
              <w:rPr>
                <w:rFonts w:eastAsia="Times New Roman" w:cs="Arial"/>
                <w:b/>
                <w:color w:val="000000"/>
                <w:sz w:val="16"/>
                <w:szCs w:val="16"/>
                <w:lang w:val="fr-FR"/>
              </w:rPr>
            </w:pPr>
            <w:r>
              <w:rPr>
                <w:rFonts w:eastAsia="Times New Roman" w:cs="Arial"/>
                <w:color w:val="000000"/>
                <w:sz w:val="16"/>
                <w:szCs w:val="16"/>
                <w:lang w:val="fr-FR"/>
              </w:rPr>
              <w:t>25 rep. d</w:t>
            </w:r>
            <w:r w:rsidR="002C54BD">
              <w:rPr>
                <w:rFonts w:eastAsia="Times New Roman" w:cs="Arial"/>
                <w:color w:val="000000"/>
                <w:sz w:val="16"/>
                <w:szCs w:val="16"/>
                <w:lang w:val="fr-FR"/>
              </w:rPr>
              <w:t>’</w:t>
            </w:r>
            <w:r>
              <w:rPr>
                <w:rFonts w:eastAsia="Times New Roman" w:cs="Arial"/>
                <w:color w:val="000000"/>
                <w:sz w:val="16"/>
                <w:szCs w:val="16"/>
                <w:lang w:val="fr-FR"/>
              </w:rPr>
              <w:t>OSC (organisations membres de l</w:t>
            </w:r>
            <w:r w:rsidR="002C54BD">
              <w:rPr>
                <w:rFonts w:eastAsia="Times New Roman" w:cs="Arial"/>
                <w:color w:val="000000"/>
                <w:sz w:val="16"/>
                <w:szCs w:val="16"/>
                <w:lang w:val="fr-FR"/>
              </w:rPr>
              <w:t>’</w:t>
            </w:r>
            <w:r>
              <w:rPr>
                <w:rFonts w:eastAsia="Times New Roman" w:cs="Arial"/>
                <w:color w:val="000000"/>
                <w:sz w:val="16"/>
                <w:szCs w:val="16"/>
                <w:lang w:val="fr-FR"/>
              </w:rPr>
              <w:t xml:space="preserve">ASC, </w:t>
            </w:r>
            <w:r w:rsidR="00163071">
              <w:rPr>
                <w:rFonts w:eastAsia="Times New Roman" w:cs="Arial"/>
                <w:color w:val="000000"/>
                <w:sz w:val="16"/>
                <w:szCs w:val="16"/>
                <w:lang w:val="fr-FR"/>
              </w:rPr>
              <w:t xml:space="preserve">toutes au </w:t>
            </w:r>
            <w:r>
              <w:rPr>
                <w:rFonts w:eastAsia="Times New Roman" w:cs="Arial"/>
                <w:color w:val="000000"/>
                <w:sz w:val="16"/>
                <w:szCs w:val="16"/>
                <w:lang w:val="fr-FR"/>
              </w:rPr>
              <w:t>niveau nationa</w:t>
            </w:r>
            <w:r w:rsidR="00163071">
              <w:rPr>
                <w:rFonts w:eastAsia="Times New Roman" w:cs="Arial"/>
                <w:color w:val="000000"/>
                <w:sz w:val="16"/>
                <w:szCs w:val="16"/>
                <w:lang w:val="fr-FR"/>
              </w:rPr>
              <w:t>l</w:t>
            </w:r>
            <w:r>
              <w:rPr>
                <w:rFonts w:eastAsia="Times New Roman" w:cs="Arial"/>
                <w:color w:val="000000"/>
                <w:sz w:val="16"/>
                <w:szCs w:val="16"/>
                <w:lang w:val="fr-FR"/>
              </w:rPr>
              <w:t>, 4</w:t>
            </w:r>
            <w:r w:rsidR="000B5930">
              <w:rPr>
                <w:rFonts w:eastAsia="Times New Roman" w:cs="Arial"/>
                <w:color w:val="000000"/>
                <w:sz w:val="16"/>
                <w:szCs w:val="16"/>
                <w:lang w:val="fr-FR"/>
              </w:rPr>
              <w:t xml:space="preserve"> rep.</w:t>
            </w:r>
            <w:r>
              <w:rPr>
                <w:rFonts w:eastAsia="Times New Roman" w:cs="Arial"/>
                <w:color w:val="000000"/>
                <w:sz w:val="16"/>
                <w:szCs w:val="16"/>
                <w:lang w:val="fr-FR"/>
              </w:rPr>
              <w:t xml:space="preserve"> femmes)</w:t>
            </w:r>
          </w:p>
        </w:tc>
        <w:tc>
          <w:tcPr>
            <w:tcW w:w="814" w:type="pct"/>
          </w:tcPr>
          <w:p w14:paraId="6FF309D1" w14:textId="01B8D1A1" w:rsidR="001634E2" w:rsidRPr="00BD3D80" w:rsidRDefault="001634E2" w:rsidP="001634E2">
            <w:pPr>
              <w:rPr>
                <w:rFonts w:eastAsia="Times New Roman" w:cs="Arial"/>
                <w:b/>
                <w:color w:val="000000"/>
                <w:sz w:val="16"/>
                <w:szCs w:val="16"/>
                <w:lang w:val="fr-FR"/>
              </w:rPr>
            </w:pPr>
            <w:r>
              <w:rPr>
                <w:rFonts w:eastAsia="Times New Roman" w:cs="Arial"/>
                <w:color w:val="000000"/>
                <w:sz w:val="16"/>
                <w:szCs w:val="16"/>
                <w:lang w:val="fr-FR"/>
              </w:rPr>
              <w:t>60 rep. d</w:t>
            </w:r>
            <w:r w:rsidR="002C54BD">
              <w:rPr>
                <w:rFonts w:eastAsia="Times New Roman" w:cs="Arial"/>
                <w:color w:val="000000"/>
                <w:sz w:val="16"/>
                <w:szCs w:val="16"/>
                <w:lang w:val="fr-FR"/>
              </w:rPr>
              <w:t>’</w:t>
            </w:r>
            <w:r>
              <w:rPr>
                <w:rFonts w:eastAsia="Times New Roman" w:cs="Arial"/>
                <w:color w:val="000000"/>
                <w:sz w:val="16"/>
                <w:szCs w:val="16"/>
                <w:lang w:val="fr-FR"/>
              </w:rPr>
              <w:t>OSC (15 au niveau du district)</w:t>
            </w:r>
          </w:p>
        </w:tc>
        <w:tc>
          <w:tcPr>
            <w:tcW w:w="918" w:type="pct"/>
          </w:tcPr>
          <w:p w14:paraId="59CC9913" w14:textId="2CBA7979" w:rsidR="001634E2" w:rsidRPr="00C26CAB" w:rsidRDefault="001634E2" w:rsidP="001634E2">
            <w:pPr>
              <w:rPr>
                <w:rFonts w:eastAsia="Times New Roman" w:cs="Arial"/>
                <w:b/>
                <w:color w:val="000000"/>
                <w:sz w:val="16"/>
                <w:szCs w:val="16"/>
                <w:lang w:val="fr-FR"/>
              </w:rPr>
            </w:pPr>
            <w:r>
              <w:rPr>
                <w:rFonts w:eastAsia="Times New Roman" w:cs="Arial"/>
                <w:color w:val="000000"/>
                <w:sz w:val="16"/>
                <w:szCs w:val="16"/>
                <w:lang w:val="fr-FR"/>
              </w:rPr>
              <w:t>200 rep. d</w:t>
            </w:r>
            <w:r w:rsidR="002C54BD">
              <w:rPr>
                <w:rFonts w:eastAsia="Times New Roman" w:cs="Arial"/>
                <w:color w:val="000000"/>
                <w:sz w:val="16"/>
                <w:szCs w:val="16"/>
                <w:lang w:val="fr-FR"/>
              </w:rPr>
              <w:t>’</w:t>
            </w:r>
            <w:r>
              <w:rPr>
                <w:rFonts w:eastAsia="Times New Roman" w:cs="Arial"/>
                <w:color w:val="000000"/>
                <w:sz w:val="16"/>
                <w:szCs w:val="16"/>
                <w:lang w:val="fr-FR"/>
              </w:rPr>
              <w:t>OSC (50 </w:t>
            </w:r>
            <w:r w:rsidR="00AD7C8C">
              <w:rPr>
                <w:rFonts w:eastAsia="Times New Roman" w:cs="Arial"/>
                <w:color w:val="000000"/>
                <w:sz w:val="16"/>
                <w:szCs w:val="16"/>
                <w:lang w:val="fr-FR"/>
              </w:rPr>
              <w:t xml:space="preserve">% </w:t>
            </w:r>
            <w:r>
              <w:rPr>
                <w:rFonts w:eastAsia="Times New Roman" w:cs="Arial"/>
                <w:color w:val="000000"/>
                <w:sz w:val="16"/>
                <w:szCs w:val="16"/>
                <w:lang w:val="fr-FR"/>
              </w:rPr>
              <w:t>de femmes)</w:t>
            </w:r>
          </w:p>
        </w:tc>
      </w:tr>
      <w:tr w:rsidR="001634E2" w:rsidRPr="001634E2" w14:paraId="4CB27741" w14:textId="77777777" w:rsidTr="001634E2">
        <w:trPr>
          <w:trHeight w:val="417"/>
        </w:trPr>
        <w:tc>
          <w:tcPr>
            <w:tcW w:w="1021" w:type="pct"/>
          </w:tcPr>
          <w:p w14:paraId="59FA2EE5" w14:textId="3848A3F6" w:rsidR="00645FCB" w:rsidRPr="001634E2" w:rsidRDefault="00645FCB" w:rsidP="001634E2">
            <w:pPr>
              <w:rPr>
                <w:rFonts w:eastAsia="Times New Roman" w:cs="Arial"/>
                <w:b/>
                <w:color w:val="000000"/>
                <w:sz w:val="16"/>
                <w:szCs w:val="16"/>
              </w:rPr>
            </w:pPr>
            <w:r>
              <w:rPr>
                <w:rFonts w:eastAsia="Times New Roman" w:cs="Arial"/>
                <w:b/>
                <w:bCs/>
                <w:color w:val="000000"/>
                <w:sz w:val="16"/>
                <w:szCs w:val="16"/>
                <w:lang w:val="fr-FR"/>
              </w:rPr>
              <w:t>Population mobilisée/sensibilisée</w:t>
            </w:r>
          </w:p>
        </w:tc>
        <w:tc>
          <w:tcPr>
            <w:tcW w:w="903" w:type="pct"/>
            <w:vMerge/>
          </w:tcPr>
          <w:p w14:paraId="6DE5F8B5" w14:textId="77777777" w:rsidR="00645FCB" w:rsidRPr="001634E2" w:rsidRDefault="00645FCB" w:rsidP="001634E2">
            <w:pPr>
              <w:rPr>
                <w:rFonts w:eastAsia="Times New Roman" w:cs="Arial"/>
                <w:b/>
                <w:color w:val="000000"/>
                <w:sz w:val="16"/>
                <w:szCs w:val="16"/>
              </w:rPr>
            </w:pPr>
          </w:p>
        </w:tc>
        <w:tc>
          <w:tcPr>
            <w:tcW w:w="698" w:type="pct"/>
            <w:gridSpan w:val="2"/>
          </w:tcPr>
          <w:p w14:paraId="7099EE58" w14:textId="2C72D89C" w:rsidR="001634E2" w:rsidRPr="001634E2" w:rsidRDefault="00645FCB" w:rsidP="001634E2">
            <w:pPr>
              <w:pStyle w:val="ListParagraph"/>
              <w:numPr>
                <w:ilvl w:val="0"/>
                <w:numId w:val="25"/>
              </w:numPr>
              <w:rPr>
                <w:rFonts w:eastAsia="Times New Roman" w:cs="Arial"/>
                <w:b/>
                <w:color w:val="000000"/>
                <w:sz w:val="16"/>
                <w:szCs w:val="16"/>
              </w:rPr>
            </w:pPr>
            <w:r>
              <w:rPr>
                <w:rFonts w:eastAsia="Times New Roman" w:cs="Arial"/>
                <w:color w:val="000000"/>
                <w:sz w:val="16"/>
                <w:szCs w:val="16"/>
                <w:lang w:val="fr-FR"/>
              </w:rPr>
              <w:t xml:space="preserve">Suivi des réseaux sociaux </w:t>
            </w:r>
          </w:p>
          <w:p w14:paraId="2A8318B6" w14:textId="47A89FB7" w:rsidR="00645FCB" w:rsidRPr="00BD3D80" w:rsidRDefault="00645FCB" w:rsidP="001634E2">
            <w:pPr>
              <w:pStyle w:val="ListParagraph"/>
              <w:numPr>
                <w:ilvl w:val="0"/>
                <w:numId w:val="25"/>
              </w:numPr>
              <w:rPr>
                <w:rFonts w:eastAsia="Times New Roman" w:cs="Arial"/>
                <w:b/>
                <w:color w:val="000000"/>
                <w:sz w:val="16"/>
                <w:szCs w:val="16"/>
                <w:lang w:val="fr-FR"/>
              </w:rPr>
            </w:pPr>
            <w:r>
              <w:rPr>
                <w:rFonts w:eastAsia="Times New Roman" w:cs="Arial"/>
                <w:color w:val="000000"/>
                <w:sz w:val="16"/>
                <w:szCs w:val="16"/>
                <w:lang w:val="fr-FR"/>
              </w:rPr>
              <w:t>Participants à des événements organisés ou coorganisés par l</w:t>
            </w:r>
            <w:r w:rsidR="002C54BD">
              <w:rPr>
                <w:rFonts w:eastAsia="Times New Roman" w:cs="Arial"/>
                <w:color w:val="000000"/>
                <w:sz w:val="16"/>
                <w:szCs w:val="16"/>
                <w:lang w:val="fr-FR"/>
              </w:rPr>
              <w:t>’</w:t>
            </w:r>
            <w:r>
              <w:rPr>
                <w:rFonts w:eastAsia="Times New Roman" w:cs="Arial"/>
                <w:color w:val="000000"/>
                <w:sz w:val="16"/>
                <w:szCs w:val="16"/>
                <w:lang w:val="fr-FR"/>
              </w:rPr>
              <w:t>ASC (</w:t>
            </w:r>
            <w:r w:rsidR="000B5930">
              <w:rPr>
                <w:rFonts w:eastAsia="Times New Roman" w:cs="Arial"/>
                <w:color w:val="000000"/>
                <w:sz w:val="16"/>
                <w:szCs w:val="16"/>
                <w:lang w:val="fr-FR"/>
              </w:rPr>
              <w:t>S&amp;E</w:t>
            </w:r>
            <w:r>
              <w:rPr>
                <w:rFonts w:eastAsia="Times New Roman" w:cs="Arial"/>
                <w:color w:val="000000"/>
                <w:sz w:val="16"/>
                <w:szCs w:val="16"/>
                <w:lang w:val="fr-FR"/>
              </w:rPr>
              <w:t xml:space="preserve"> de l</w:t>
            </w:r>
            <w:r w:rsidR="002C54BD">
              <w:rPr>
                <w:rFonts w:eastAsia="Times New Roman" w:cs="Arial"/>
                <w:color w:val="000000"/>
                <w:sz w:val="16"/>
                <w:szCs w:val="16"/>
                <w:lang w:val="fr-FR"/>
              </w:rPr>
              <w:t>’</w:t>
            </w:r>
            <w:r>
              <w:rPr>
                <w:rFonts w:eastAsia="Times New Roman" w:cs="Arial"/>
                <w:color w:val="000000"/>
                <w:sz w:val="16"/>
                <w:szCs w:val="16"/>
                <w:lang w:val="fr-FR"/>
              </w:rPr>
              <w:t>ASC)</w:t>
            </w:r>
          </w:p>
        </w:tc>
        <w:tc>
          <w:tcPr>
            <w:tcW w:w="646" w:type="pct"/>
          </w:tcPr>
          <w:p w14:paraId="34C3EE77" w14:textId="4252B832" w:rsidR="00645FCB" w:rsidRPr="00BD3D80" w:rsidRDefault="00645FCB" w:rsidP="001634E2">
            <w:pPr>
              <w:rPr>
                <w:rFonts w:eastAsia="Times New Roman" w:cs="Arial"/>
                <w:color w:val="000000"/>
                <w:sz w:val="16"/>
                <w:szCs w:val="16"/>
                <w:lang w:val="fr-FR"/>
              </w:rPr>
            </w:pPr>
            <w:r>
              <w:rPr>
                <w:rFonts w:eastAsia="Times New Roman" w:cs="Arial"/>
                <w:color w:val="000000"/>
                <w:sz w:val="16"/>
                <w:szCs w:val="16"/>
                <w:lang w:val="fr-FR"/>
              </w:rPr>
              <w:t>1 000 via les réseaux sociaux (30 </w:t>
            </w:r>
            <w:r w:rsidR="006D0416">
              <w:rPr>
                <w:rFonts w:eastAsia="Times New Roman" w:cs="Arial"/>
                <w:color w:val="000000"/>
                <w:sz w:val="16"/>
                <w:szCs w:val="16"/>
                <w:lang w:val="fr-FR"/>
              </w:rPr>
              <w:t xml:space="preserve">% </w:t>
            </w:r>
            <w:r>
              <w:rPr>
                <w:rFonts w:eastAsia="Times New Roman" w:cs="Arial"/>
                <w:color w:val="000000"/>
                <w:sz w:val="16"/>
                <w:szCs w:val="16"/>
                <w:lang w:val="fr-FR"/>
              </w:rPr>
              <w:t>de femmes)</w:t>
            </w:r>
          </w:p>
          <w:p w14:paraId="5BA0212C" w14:textId="7A7129A2" w:rsidR="00645FCB" w:rsidRPr="001634E2" w:rsidRDefault="00645FCB" w:rsidP="001634E2">
            <w:pPr>
              <w:rPr>
                <w:rFonts w:eastAsia="Times New Roman" w:cs="Arial"/>
                <w:color w:val="000000"/>
                <w:sz w:val="16"/>
                <w:szCs w:val="16"/>
              </w:rPr>
            </w:pPr>
            <w:r>
              <w:rPr>
                <w:rFonts w:eastAsia="Times New Roman" w:cs="Arial"/>
                <w:color w:val="000000"/>
                <w:sz w:val="16"/>
                <w:szCs w:val="16"/>
                <w:lang w:val="fr-FR"/>
              </w:rPr>
              <w:t>300 personnes (25 </w:t>
            </w:r>
            <w:r w:rsidR="006D0416">
              <w:rPr>
                <w:rFonts w:eastAsia="Times New Roman" w:cs="Arial"/>
                <w:color w:val="000000"/>
                <w:sz w:val="16"/>
                <w:szCs w:val="16"/>
                <w:lang w:val="fr-FR"/>
              </w:rPr>
              <w:t xml:space="preserve">% </w:t>
            </w:r>
            <w:r>
              <w:rPr>
                <w:rFonts w:eastAsia="Times New Roman" w:cs="Arial"/>
                <w:color w:val="000000"/>
                <w:sz w:val="16"/>
                <w:szCs w:val="16"/>
                <w:lang w:val="fr-FR"/>
              </w:rPr>
              <w:t>de femmes)</w:t>
            </w:r>
          </w:p>
          <w:p w14:paraId="0257D9C2" w14:textId="77777777" w:rsidR="00645FCB" w:rsidRPr="001634E2" w:rsidRDefault="00645FCB" w:rsidP="001634E2">
            <w:pPr>
              <w:rPr>
                <w:rFonts w:eastAsia="Times New Roman" w:cs="Arial"/>
                <w:b/>
                <w:color w:val="000000"/>
                <w:sz w:val="16"/>
                <w:szCs w:val="16"/>
              </w:rPr>
            </w:pPr>
          </w:p>
        </w:tc>
        <w:tc>
          <w:tcPr>
            <w:tcW w:w="814" w:type="pct"/>
          </w:tcPr>
          <w:p w14:paraId="29257BF0" w14:textId="62571307" w:rsidR="00645FCB" w:rsidRPr="00BD3D80" w:rsidRDefault="00645FCB" w:rsidP="001634E2">
            <w:pPr>
              <w:rPr>
                <w:rFonts w:eastAsia="Times New Roman" w:cs="Arial"/>
                <w:color w:val="000000"/>
                <w:sz w:val="16"/>
                <w:szCs w:val="16"/>
                <w:lang w:val="fr-FR"/>
              </w:rPr>
            </w:pPr>
            <w:r>
              <w:rPr>
                <w:rFonts w:eastAsia="Times New Roman" w:cs="Arial"/>
                <w:color w:val="000000"/>
                <w:sz w:val="16"/>
                <w:szCs w:val="16"/>
                <w:lang w:val="fr-FR"/>
              </w:rPr>
              <w:t>2 000 via les réseaux sociaux (40 </w:t>
            </w:r>
            <w:r w:rsidR="006D0416">
              <w:rPr>
                <w:rFonts w:eastAsia="Times New Roman" w:cs="Arial"/>
                <w:color w:val="000000"/>
                <w:sz w:val="16"/>
                <w:szCs w:val="16"/>
                <w:lang w:val="fr-FR"/>
              </w:rPr>
              <w:t xml:space="preserve">% </w:t>
            </w:r>
            <w:r>
              <w:rPr>
                <w:rFonts w:eastAsia="Times New Roman" w:cs="Arial"/>
                <w:color w:val="000000"/>
                <w:sz w:val="16"/>
                <w:szCs w:val="16"/>
                <w:lang w:val="fr-FR"/>
              </w:rPr>
              <w:t>de femmes)</w:t>
            </w:r>
          </w:p>
          <w:p w14:paraId="1E106FB2" w14:textId="4181D207" w:rsidR="00645FCB" w:rsidRPr="001634E2" w:rsidRDefault="00645FCB" w:rsidP="001634E2">
            <w:pPr>
              <w:rPr>
                <w:rFonts w:eastAsia="Times New Roman" w:cs="Arial"/>
                <w:color w:val="000000"/>
                <w:sz w:val="16"/>
                <w:szCs w:val="16"/>
              </w:rPr>
            </w:pPr>
            <w:r>
              <w:rPr>
                <w:rFonts w:eastAsia="Times New Roman" w:cs="Arial"/>
                <w:color w:val="000000"/>
                <w:sz w:val="16"/>
                <w:szCs w:val="16"/>
                <w:lang w:val="fr-FR"/>
              </w:rPr>
              <w:t>1 000 personnes (25 </w:t>
            </w:r>
            <w:r w:rsidR="006D0416">
              <w:rPr>
                <w:rFonts w:eastAsia="Times New Roman" w:cs="Arial"/>
                <w:color w:val="000000"/>
                <w:sz w:val="16"/>
                <w:szCs w:val="16"/>
                <w:lang w:val="fr-FR"/>
              </w:rPr>
              <w:t xml:space="preserve">% </w:t>
            </w:r>
            <w:r>
              <w:rPr>
                <w:rFonts w:eastAsia="Times New Roman" w:cs="Arial"/>
                <w:color w:val="000000"/>
                <w:sz w:val="16"/>
                <w:szCs w:val="16"/>
                <w:lang w:val="fr-FR"/>
              </w:rPr>
              <w:t>de femmes)</w:t>
            </w:r>
          </w:p>
          <w:p w14:paraId="7F49A092" w14:textId="77777777" w:rsidR="00645FCB" w:rsidRPr="001634E2" w:rsidRDefault="00645FCB" w:rsidP="001634E2">
            <w:pPr>
              <w:rPr>
                <w:rFonts w:eastAsia="Times New Roman" w:cs="Arial"/>
                <w:b/>
                <w:color w:val="000000"/>
                <w:sz w:val="16"/>
                <w:szCs w:val="16"/>
              </w:rPr>
            </w:pPr>
          </w:p>
        </w:tc>
        <w:tc>
          <w:tcPr>
            <w:tcW w:w="918" w:type="pct"/>
          </w:tcPr>
          <w:p w14:paraId="7799BA68" w14:textId="2C633242" w:rsidR="00645FCB" w:rsidRPr="00BD3D80" w:rsidRDefault="00645FCB" w:rsidP="001634E2">
            <w:pPr>
              <w:rPr>
                <w:rFonts w:eastAsia="Times New Roman" w:cs="Arial"/>
                <w:color w:val="000000"/>
                <w:sz w:val="16"/>
                <w:szCs w:val="16"/>
                <w:lang w:val="fr-FR"/>
              </w:rPr>
            </w:pPr>
            <w:r>
              <w:rPr>
                <w:rFonts w:eastAsia="Times New Roman" w:cs="Arial"/>
                <w:color w:val="000000"/>
                <w:sz w:val="16"/>
                <w:szCs w:val="16"/>
                <w:lang w:val="fr-FR"/>
              </w:rPr>
              <w:t>10 000 via les réseaux sociaux (40 </w:t>
            </w:r>
            <w:r w:rsidR="006D0416">
              <w:rPr>
                <w:rFonts w:eastAsia="Times New Roman" w:cs="Arial"/>
                <w:color w:val="000000"/>
                <w:sz w:val="16"/>
                <w:szCs w:val="16"/>
                <w:lang w:val="fr-FR"/>
              </w:rPr>
              <w:t xml:space="preserve">% </w:t>
            </w:r>
            <w:r>
              <w:rPr>
                <w:rFonts w:eastAsia="Times New Roman" w:cs="Arial"/>
                <w:color w:val="000000"/>
                <w:sz w:val="16"/>
                <w:szCs w:val="16"/>
                <w:lang w:val="fr-FR"/>
              </w:rPr>
              <w:t>de femmes)</w:t>
            </w:r>
          </w:p>
          <w:p w14:paraId="5F911134" w14:textId="748BCE0A" w:rsidR="00645FCB" w:rsidRPr="001634E2" w:rsidRDefault="00645FCB" w:rsidP="001634E2">
            <w:pPr>
              <w:rPr>
                <w:rFonts w:eastAsia="Times New Roman" w:cs="Arial"/>
                <w:color w:val="000000"/>
                <w:sz w:val="16"/>
                <w:szCs w:val="16"/>
              </w:rPr>
            </w:pPr>
            <w:r>
              <w:rPr>
                <w:rFonts w:eastAsia="Times New Roman" w:cs="Arial"/>
                <w:color w:val="000000"/>
                <w:sz w:val="16"/>
                <w:szCs w:val="16"/>
                <w:lang w:val="fr-FR"/>
              </w:rPr>
              <w:t>5 000 personnes (25 </w:t>
            </w:r>
            <w:r w:rsidR="006D0416">
              <w:rPr>
                <w:rFonts w:eastAsia="Times New Roman" w:cs="Arial"/>
                <w:color w:val="000000"/>
                <w:sz w:val="16"/>
                <w:szCs w:val="16"/>
                <w:lang w:val="fr-FR"/>
              </w:rPr>
              <w:t xml:space="preserve">% </w:t>
            </w:r>
            <w:r>
              <w:rPr>
                <w:rFonts w:eastAsia="Times New Roman" w:cs="Arial"/>
                <w:color w:val="000000"/>
                <w:sz w:val="16"/>
                <w:szCs w:val="16"/>
                <w:lang w:val="fr-FR"/>
              </w:rPr>
              <w:t>de femmes)</w:t>
            </w:r>
          </w:p>
          <w:p w14:paraId="46A1EA9E" w14:textId="77777777" w:rsidR="00645FCB" w:rsidRPr="001634E2" w:rsidRDefault="00645FCB" w:rsidP="001634E2">
            <w:pPr>
              <w:rPr>
                <w:rFonts w:eastAsia="Times New Roman" w:cs="Arial"/>
                <w:b/>
                <w:color w:val="000000"/>
                <w:sz w:val="16"/>
                <w:szCs w:val="16"/>
              </w:rPr>
            </w:pPr>
          </w:p>
        </w:tc>
      </w:tr>
      <w:tr w:rsidR="001634E2" w:rsidRPr="00880085" w14:paraId="4ADD1C01" w14:textId="77777777" w:rsidTr="001634E2">
        <w:trPr>
          <w:trHeight w:val="70"/>
        </w:trPr>
        <w:tc>
          <w:tcPr>
            <w:tcW w:w="1021" w:type="pct"/>
            <w:shd w:val="clear" w:color="auto" w:fill="ED7D31" w:themeFill="accent2"/>
          </w:tcPr>
          <w:p w14:paraId="2CBFF19A" w14:textId="7755235F" w:rsidR="00645FCB" w:rsidRPr="001634E2" w:rsidRDefault="00645FCB" w:rsidP="001634E2">
            <w:pPr>
              <w:rPr>
                <w:rFonts w:eastAsia="Times New Roman" w:cs="Arial"/>
                <w:color w:val="000000"/>
                <w:sz w:val="16"/>
                <w:szCs w:val="16"/>
              </w:rPr>
            </w:pPr>
            <w:r>
              <w:rPr>
                <w:rFonts w:eastAsia="Times New Roman" w:cs="Arial"/>
                <w:b/>
                <w:bCs/>
                <w:color w:val="000000"/>
                <w:sz w:val="16"/>
                <w:szCs w:val="16"/>
                <w:lang w:val="fr-FR"/>
              </w:rPr>
              <w:t>Niveau de changement</w:t>
            </w:r>
          </w:p>
        </w:tc>
        <w:tc>
          <w:tcPr>
            <w:tcW w:w="903" w:type="pct"/>
            <w:shd w:val="clear" w:color="auto" w:fill="ED7D31" w:themeFill="accent2"/>
          </w:tcPr>
          <w:p w14:paraId="5AA45ED6" w14:textId="183AE94D" w:rsidR="00645FCB" w:rsidRPr="001634E2" w:rsidRDefault="00645FCB" w:rsidP="001634E2">
            <w:pPr>
              <w:rPr>
                <w:rFonts w:eastAsia="Times New Roman" w:cs="Arial"/>
                <w:color w:val="000000"/>
                <w:sz w:val="16"/>
                <w:szCs w:val="16"/>
              </w:rPr>
            </w:pPr>
            <w:r>
              <w:rPr>
                <w:rFonts w:eastAsia="Times New Roman" w:cs="Arial"/>
                <w:b/>
                <w:bCs/>
                <w:color w:val="000000"/>
                <w:sz w:val="16"/>
                <w:szCs w:val="16"/>
                <w:lang w:val="fr-FR"/>
              </w:rPr>
              <w:t>Indicateur</w:t>
            </w:r>
          </w:p>
        </w:tc>
        <w:tc>
          <w:tcPr>
            <w:tcW w:w="698" w:type="pct"/>
            <w:gridSpan w:val="2"/>
            <w:shd w:val="clear" w:color="auto" w:fill="ED7D31" w:themeFill="accent2"/>
          </w:tcPr>
          <w:p w14:paraId="6ED712ED" w14:textId="2714F721" w:rsidR="00645FCB" w:rsidRPr="001634E2" w:rsidRDefault="00645FCB" w:rsidP="001634E2">
            <w:pPr>
              <w:rPr>
                <w:rFonts w:eastAsia="Times New Roman" w:cs="Arial"/>
                <w:color w:val="000000"/>
                <w:sz w:val="16"/>
                <w:szCs w:val="16"/>
              </w:rPr>
            </w:pPr>
            <w:r>
              <w:rPr>
                <w:rFonts w:eastAsia="Times New Roman" w:cs="Arial"/>
                <w:b/>
                <w:bCs/>
                <w:color w:val="000000"/>
                <w:sz w:val="16"/>
                <w:szCs w:val="16"/>
                <w:lang w:val="fr-FR"/>
              </w:rPr>
              <w:t>Moyens de vérification</w:t>
            </w:r>
          </w:p>
        </w:tc>
        <w:tc>
          <w:tcPr>
            <w:tcW w:w="646" w:type="pct"/>
            <w:shd w:val="clear" w:color="auto" w:fill="ED7D31" w:themeFill="accent2"/>
          </w:tcPr>
          <w:p w14:paraId="7776F0E3" w14:textId="6A5983C1" w:rsidR="00645FCB" w:rsidRPr="001634E2" w:rsidRDefault="00645FCB" w:rsidP="001634E2">
            <w:pPr>
              <w:rPr>
                <w:rFonts w:eastAsia="Times New Roman" w:cs="Arial"/>
                <w:color w:val="000000"/>
                <w:sz w:val="16"/>
                <w:szCs w:val="16"/>
              </w:rPr>
            </w:pPr>
            <w:r>
              <w:rPr>
                <w:rFonts w:eastAsia="Times New Roman" w:cs="Arial"/>
                <w:b/>
                <w:bCs/>
                <w:color w:val="000000"/>
                <w:sz w:val="16"/>
                <w:szCs w:val="16"/>
                <w:lang w:val="fr-FR"/>
              </w:rPr>
              <w:t>Base de référence (2017)</w:t>
            </w:r>
          </w:p>
        </w:tc>
        <w:tc>
          <w:tcPr>
            <w:tcW w:w="814" w:type="pct"/>
            <w:shd w:val="clear" w:color="auto" w:fill="ED7D31" w:themeFill="accent2"/>
          </w:tcPr>
          <w:p w14:paraId="4BFE1079" w14:textId="326C3B16" w:rsidR="00645FCB" w:rsidRPr="001634E2" w:rsidRDefault="00E30F08" w:rsidP="001634E2">
            <w:pPr>
              <w:rPr>
                <w:rFonts w:eastAsia="Times New Roman" w:cs="Arial"/>
                <w:color w:val="000000"/>
                <w:sz w:val="16"/>
                <w:szCs w:val="16"/>
              </w:rPr>
            </w:pPr>
            <w:r>
              <w:rPr>
                <w:rFonts w:eastAsia="Times New Roman" w:cs="Arial"/>
                <w:b/>
                <w:bCs/>
                <w:color w:val="000000"/>
                <w:sz w:val="16"/>
                <w:szCs w:val="16"/>
                <w:lang w:val="fr-FR"/>
              </w:rPr>
              <w:t>Cible annuelle</w:t>
            </w:r>
          </w:p>
        </w:tc>
        <w:tc>
          <w:tcPr>
            <w:tcW w:w="918" w:type="pct"/>
            <w:shd w:val="clear" w:color="auto" w:fill="ED7D31" w:themeFill="accent2"/>
          </w:tcPr>
          <w:p w14:paraId="6CCACDE4" w14:textId="7D2392BB" w:rsidR="00645FCB" w:rsidRPr="00BD3D80" w:rsidRDefault="00E30F08" w:rsidP="001634E2">
            <w:pPr>
              <w:rPr>
                <w:rFonts w:eastAsia="Times New Roman" w:cs="Arial"/>
                <w:color w:val="000000"/>
                <w:sz w:val="16"/>
                <w:szCs w:val="16"/>
                <w:lang w:val="fr-FR"/>
              </w:rPr>
            </w:pPr>
            <w:r>
              <w:rPr>
                <w:rFonts w:eastAsia="Times New Roman" w:cs="Arial"/>
                <w:b/>
                <w:bCs/>
                <w:color w:val="000000"/>
                <w:sz w:val="16"/>
                <w:szCs w:val="16"/>
                <w:lang w:val="fr-FR"/>
              </w:rPr>
              <w:t xml:space="preserve">Cible </w:t>
            </w:r>
            <w:r w:rsidR="00645FCB">
              <w:rPr>
                <w:rFonts w:eastAsia="Times New Roman" w:cs="Arial"/>
                <w:b/>
                <w:bCs/>
                <w:color w:val="000000"/>
                <w:sz w:val="16"/>
                <w:szCs w:val="16"/>
                <w:lang w:val="fr-FR"/>
              </w:rPr>
              <w:t>à long terme (5 ans)</w:t>
            </w:r>
          </w:p>
        </w:tc>
      </w:tr>
      <w:tr w:rsidR="00645FCB" w:rsidRPr="001634E2" w14:paraId="56AF8044" w14:textId="77777777" w:rsidTr="001634E2">
        <w:trPr>
          <w:trHeight w:val="417"/>
        </w:trPr>
        <w:tc>
          <w:tcPr>
            <w:tcW w:w="5000" w:type="pct"/>
            <w:gridSpan w:val="7"/>
            <w:shd w:val="clear" w:color="auto" w:fill="FBE4D5" w:themeFill="accent2" w:themeFillTint="33"/>
          </w:tcPr>
          <w:p w14:paraId="55271077" w14:textId="78F7F315" w:rsidR="00645FCB" w:rsidRPr="001634E2" w:rsidRDefault="00645FCB" w:rsidP="001634E2">
            <w:pPr>
              <w:rPr>
                <w:rFonts w:eastAsia="Times New Roman" w:cs="Arial"/>
                <w:b/>
                <w:color w:val="000000"/>
                <w:sz w:val="16"/>
                <w:szCs w:val="16"/>
              </w:rPr>
            </w:pPr>
            <w:r>
              <w:rPr>
                <w:rFonts w:eastAsia="Times New Roman" w:cs="Arial"/>
                <w:b/>
                <w:bCs/>
                <w:color w:val="000000"/>
                <w:sz w:val="16"/>
                <w:szCs w:val="16"/>
                <w:lang w:val="fr-FR"/>
              </w:rPr>
              <w:t>Résultat(s)</w:t>
            </w:r>
          </w:p>
        </w:tc>
      </w:tr>
      <w:tr w:rsidR="001634E2" w:rsidRPr="00880085" w14:paraId="505ADBC2" w14:textId="77777777" w:rsidTr="001634E2">
        <w:trPr>
          <w:trHeight w:val="417"/>
        </w:trPr>
        <w:tc>
          <w:tcPr>
            <w:tcW w:w="1021" w:type="pct"/>
          </w:tcPr>
          <w:p w14:paraId="753C1587" w14:textId="65B41A56" w:rsidR="00645FCB" w:rsidRPr="00BD3D80" w:rsidRDefault="00645FCB" w:rsidP="001634E2">
            <w:pPr>
              <w:rPr>
                <w:rFonts w:eastAsia="Times New Roman" w:cstheme="majorHAnsi"/>
                <w:b/>
                <w:sz w:val="16"/>
                <w:szCs w:val="16"/>
                <w:lang w:val="fr-FR"/>
              </w:rPr>
            </w:pPr>
            <w:r>
              <w:rPr>
                <w:rFonts w:eastAsia="Times New Roman"/>
                <w:b/>
                <w:bCs/>
                <w:sz w:val="16"/>
                <w:szCs w:val="16"/>
                <w:lang w:val="fr-FR"/>
              </w:rPr>
              <w:t>Résultat</w:t>
            </w:r>
            <w:r w:rsidR="002C54BD">
              <w:rPr>
                <w:rFonts w:eastAsia="Times New Roman"/>
                <w:b/>
                <w:bCs/>
                <w:sz w:val="16"/>
                <w:szCs w:val="16"/>
                <w:lang w:val="fr-FR"/>
              </w:rPr>
              <w:t> </w:t>
            </w:r>
            <w:r>
              <w:rPr>
                <w:rFonts w:eastAsia="Times New Roman"/>
                <w:b/>
                <w:bCs/>
                <w:sz w:val="16"/>
                <w:szCs w:val="16"/>
                <w:lang w:val="fr-FR"/>
              </w:rPr>
              <w:t>1</w:t>
            </w:r>
            <w:r w:rsidR="002051AC">
              <w:rPr>
                <w:rFonts w:eastAsia="Times New Roman"/>
                <w:b/>
                <w:bCs/>
                <w:sz w:val="16"/>
                <w:szCs w:val="16"/>
                <w:lang w:val="fr-FR"/>
              </w:rPr>
              <w:t xml:space="preserve"> </w:t>
            </w:r>
            <w:r>
              <w:rPr>
                <w:rFonts w:eastAsia="Times New Roman"/>
                <w:i/>
                <w:iCs/>
                <w:color w:val="000000"/>
                <w:sz w:val="16"/>
                <w:szCs w:val="16"/>
                <w:lang w:val="fr-FR"/>
              </w:rPr>
              <w:t>(</w:t>
            </w:r>
            <w:proofErr w:type="spellStart"/>
            <w:r>
              <w:rPr>
                <w:rFonts w:eastAsia="Times New Roman"/>
                <w:i/>
                <w:iCs/>
                <w:color w:val="000000"/>
                <w:sz w:val="16"/>
                <w:szCs w:val="16"/>
                <w:lang w:val="fr-FR"/>
              </w:rPr>
              <w:t>TdC</w:t>
            </w:r>
            <w:proofErr w:type="spellEnd"/>
            <w:r>
              <w:rPr>
                <w:rFonts w:eastAsia="Times New Roman"/>
                <w:i/>
                <w:iCs/>
                <w:color w:val="000000"/>
                <w:sz w:val="16"/>
                <w:szCs w:val="16"/>
                <w:lang w:val="fr-FR"/>
              </w:rPr>
              <w:t xml:space="preserve"> du </w:t>
            </w:r>
            <w:r w:rsidR="00716DEB">
              <w:rPr>
                <w:rFonts w:eastAsia="Times New Roman"/>
                <w:i/>
                <w:iCs/>
                <w:color w:val="000000"/>
                <w:sz w:val="16"/>
                <w:szCs w:val="16"/>
                <w:lang w:val="fr-FR"/>
              </w:rPr>
              <w:t xml:space="preserve">Réseau de la société civile </w:t>
            </w:r>
            <w:r>
              <w:rPr>
                <w:rFonts w:eastAsia="Times New Roman"/>
                <w:i/>
                <w:iCs/>
                <w:color w:val="000000"/>
                <w:sz w:val="16"/>
                <w:szCs w:val="16"/>
                <w:lang w:val="fr-FR"/>
              </w:rPr>
              <w:t>SUN = Résultat</w:t>
            </w:r>
            <w:r w:rsidR="002C54BD">
              <w:rPr>
                <w:rFonts w:eastAsia="Times New Roman"/>
                <w:i/>
                <w:iCs/>
                <w:color w:val="000000"/>
                <w:sz w:val="16"/>
                <w:szCs w:val="16"/>
                <w:lang w:val="fr-FR"/>
              </w:rPr>
              <w:t> </w:t>
            </w:r>
            <w:r>
              <w:rPr>
                <w:rFonts w:eastAsia="Times New Roman"/>
                <w:i/>
                <w:iCs/>
                <w:color w:val="000000"/>
                <w:sz w:val="16"/>
                <w:szCs w:val="16"/>
                <w:lang w:val="fr-FR"/>
              </w:rPr>
              <w:t>1)</w:t>
            </w:r>
            <w:r>
              <w:rPr>
                <w:rFonts w:eastAsia="Times New Roman"/>
                <w:i/>
                <w:iCs/>
                <w:sz w:val="16"/>
                <w:szCs w:val="16"/>
                <w:lang w:val="fr-FR"/>
              </w:rPr>
              <w:t> </w:t>
            </w:r>
            <w:r>
              <w:rPr>
                <w:rFonts w:eastAsia="Times New Roman"/>
                <w:b/>
                <w:bCs/>
                <w:sz w:val="16"/>
                <w:szCs w:val="16"/>
                <w:lang w:val="fr-FR"/>
              </w:rPr>
              <w:t>:</w:t>
            </w:r>
            <w:r>
              <w:rPr>
                <w:rFonts w:eastAsia="Times New Roman"/>
                <w:sz w:val="16"/>
                <w:szCs w:val="16"/>
                <w:lang w:val="fr-FR"/>
              </w:rPr>
              <w:t xml:space="preserve"> Les pays SUN ont mis en place des </w:t>
            </w:r>
            <w:r w:rsidR="0029661A">
              <w:rPr>
                <w:rFonts w:eastAsia="Times New Roman"/>
                <w:sz w:val="16"/>
                <w:szCs w:val="16"/>
                <w:lang w:val="fr-FR"/>
              </w:rPr>
              <w:t>plans de nutrition</w:t>
            </w:r>
            <w:r>
              <w:rPr>
                <w:rFonts w:eastAsia="Times New Roman"/>
                <w:sz w:val="16"/>
                <w:szCs w:val="16"/>
                <w:lang w:val="fr-FR"/>
              </w:rPr>
              <w:t xml:space="preserve"> SMART, chiffrés, </w:t>
            </w:r>
            <w:proofErr w:type="spellStart"/>
            <w:r w:rsidR="00E30F08">
              <w:rPr>
                <w:rFonts w:eastAsia="Times New Roman"/>
                <w:sz w:val="16"/>
                <w:szCs w:val="16"/>
                <w:lang w:val="fr-FR"/>
              </w:rPr>
              <w:t>multiacteurs</w:t>
            </w:r>
            <w:proofErr w:type="spellEnd"/>
            <w:r w:rsidR="00E30F08">
              <w:rPr>
                <w:rFonts w:eastAsia="Times New Roman"/>
                <w:sz w:val="16"/>
                <w:szCs w:val="16"/>
                <w:lang w:val="fr-FR"/>
              </w:rPr>
              <w:t xml:space="preserve"> </w:t>
            </w:r>
            <w:r>
              <w:rPr>
                <w:rFonts w:eastAsia="Times New Roman"/>
                <w:sz w:val="16"/>
                <w:szCs w:val="16"/>
                <w:lang w:val="fr-FR"/>
              </w:rPr>
              <w:t xml:space="preserve">et </w:t>
            </w:r>
            <w:r w:rsidR="00B96097">
              <w:rPr>
                <w:rFonts w:eastAsia="Times New Roman"/>
                <w:sz w:val="16"/>
                <w:szCs w:val="16"/>
                <w:lang w:val="fr-FR"/>
              </w:rPr>
              <w:t>multisectoriels</w:t>
            </w:r>
            <w:r>
              <w:rPr>
                <w:rFonts w:eastAsia="Times New Roman"/>
                <w:sz w:val="16"/>
                <w:szCs w:val="16"/>
                <w:lang w:val="fr-FR"/>
              </w:rPr>
              <w:t xml:space="preserve">, y compris dans les pays lourdement touchés par la malnutrition et frappés par des conflits </w:t>
            </w:r>
          </w:p>
        </w:tc>
        <w:tc>
          <w:tcPr>
            <w:tcW w:w="903" w:type="pct"/>
          </w:tcPr>
          <w:p w14:paraId="1D12DAD3" w14:textId="56EFCFA7" w:rsidR="00645FCB" w:rsidRPr="00BD3D80" w:rsidRDefault="00645FCB" w:rsidP="001634E2">
            <w:pPr>
              <w:rPr>
                <w:sz w:val="16"/>
                <w:szCs w:val="16"/>
                <w:lang w:val="fr-FR"/>
              </w:rPr>
            </w:pPr>
            <w:r>
              <w:rPr>
                <w:sz w:val="16"/>
                <w:szCs w:val="16"/>
                <w:lang w:val="fr-FR"/>
              </w:rPr>
              <w:t>Nombre de politiques et de stratégies en place révisées par les ASC accordant une plus grande priorité à la nutrition.</w:t>
            </w:r>
          </w:p>
        </w:tc>
        <w:tc>
          <w:tcPr>
            <w:tcW w:w="698" w:type="pct"/>
            <w:gridSpan w:val="2"/>
          </w:tcPr>
          <w:p w14:paraId="77619103" w14:textId="48FE2D48" w:rsidR="00645FCB" w:rsidRPr="00BD3D80" w:rsidRDefault="00645FCB" w:rsidP="001634E2">
            <w:pPr>
              <w:rPr>
                <w:rFonts w:eastAsia="Times New Roman" w:cs="Arial"/>
                <w:color w:val="000000"/>
                <w:sz w:val="16"/>
                <w:szCs w:val="16"/>
                <w:lang w:val="fr-FR"/>
              </w:rPr>
            </w:pPr>
            <w:r>
              <w:rPr>
                <w:rFonts w:eastAsia="Times New Roman" w:cs="Arial"/>
                <w:color w:val="000000"/>
                <w:sz w:val="16"/>
                <w:szCs w:val="16"/>
                <w:lang w:val="fr-FR"/>
              </w:rPr>
              <w:t>Documents officiels sur les politiques/stratégies nationales</w:t>
            </w:r>
          </w:p>
        </w:tc>
        <w:tc>
          <w:tcPr>
            <w:tcW w:w="646" w:type="pct"/>
          </w:tcPr>
          <w:p w14:paraId="7505216A" w14:textId="4F6C1F3E" w:rsidR="00645FCB" w:rsidRPr="00BD3D80" w:rsidRDefault="00645FCB" w:rsidP="001634E2">
            <w:pPr>
              <w:rPr>
                <w:rFonts w:eastAsia="Times New Roman" w:cs="Arial"/>
                <w:color w:val="000000"/>
                <w:sz w:val="16"/>
                <w:szCs w:val="16"/>
                <w:lang w:val="fr-FR"/>
              </w:rPr>
            </w:pPr>
            <w:r>
              <w:rPr>
                <w:rFonts w:eastAsia="Times New Roman" w:cs="Arial"/>
                <w:color w:val="000000"/>
                <w:sz w:val="16"/>
                <w:szCs w:val="16"/>
                <w:lang w:val="fr-FR"/>
              </w:rPr>
              <w:t>1 (</w:t>
            </w:r>
            <w:r w:rsidR="0029661A">
              <w:rPr>
                <w:rFonts w:eastAsia="Times New Roman" w:cs="Arial"/>
                <w:color w:val="000000"/>
                <w:sz w:val="16"/>
                <w:szCs w:val="16"/>
                <w:lang w:val="fr-FR"/>
              </w:rPr>
              <w:t>plan national de nutrition</w:t>
            </w:r>
            <w:r>
              <w:rPr>
                <w:rFonts w:eastAsia="Times New Roman" w:cs="Arial"/>
                <w:color w:val="000000"/>
                <w:sz w:val="16"/>
                <w:szCs w:val="16"/>
                <w:lang w:val="fr-FR"/>
              </w:rPr>
              <w:t>)</w:t>
            </w:r>
          </w:p>
        </w:tc>
        <w:tc>
          <w:tcPr>
            <w:tcW w:w="814" w:type="pct"/>
          </w:tcPr>
          <w:p w14:paraId="60DFCD20" w14:textId="70828672" w:rsidR="00645FCB" w:rsidRPr="00BD3D80" w:rsidRDefault="00645FCB" w:rsidP="001634E2">
            <w:pPr>
              <w:rPr>
                <w:rFonts w:eastAsia="Times New Roman" w:cs="Arial"/>
                <w:color w:val="000000"/>
                <w:sz w:val="16"/>
                <w:szCs w:val="16"/>
                <w:lang w:val="fr-FR"/>
              </w:rPr>
            </w:pPr>
            <w:r>
              <w:rPr>
                <w:rFonts w:eastAsia="Times New Roman" w:cs="Arial"/>
                <w:color w:val="000000"/>
                <w:sz w:val="16"/>
                <w:szCs w:val="16"/>
                <w:lang w:val="fr-FR"/>
              </w:rPr>
              <w:t>P. ex. 2 politiques/stratégies</w:t>
            </w:r>
            <w:r w:rsidR="00075914">
              <w:rPr>
                <w:rFonts w:eastAsia="Times New Roman" w:cs="Arial"/>
                <w:color w:val="000000"/>
                <w:sz w:val="16"/>
                <w:szCs w:val="16"/>
                <w:lang w:val="fr-FR"/>
              </w:rPr>
              <w:t> </w:t>
            </w:r>
            <w:r>
              <w:rPr>
                <w:rFonts w:eastAsia="Times New Roman" w:cs="Arial"/>
                <w:color w:val="000000"/>
                <w:sz w:val="16"/>
                <w:szCs w:val="16"/>
                <w:lang w:val="fr-FR"/>
              </w:rPr>
              <w:t>: 1 politique nationale et 1 stratégie au niveau de la province (district de XY)</w:t>
            </w:r>
          </w:p>
        </w:tc>
        <w:tc>
          <w:tcPr>
            <w:tcW w:w="918" w:type="pct"/>
          </w:tcPr>
          <w:p w14:paraId="04CD3AF1" w14:textId="1CFE8B40" w:rsidR="00645FCB" w:rsidRPr="00BD3D80" w:rsidRDefault="00645FCB" w:rsidP="001634E2">
            <w:pPr>
              <w:rPr>
                <w:rFonts w:eastAsia="Times New Roman" w:cs="Arial"/>
                <w:color w:val="000000"/>
                <w:sz w:val="16"/>
                <w:szCs w:val="16"/>
                <w:lang w:val="fr-FR"/>
              </w:rPr>
            </w:pPr>
            <w:r>
              <w:rPr>
                <w:rFonts w:eastAsia="Times New Roman" w:cs="Arial"/>
                <w:color w:val="000000"/>
                <w:sz w:val="16"/>
                <w:szCs w:val="16"/>
                <w:lang w:val="fr-FR"/>
              </w:rPr>
              <w:t>P. ex. 5 politiques/stratégies en 5 ans (atteignant 3 districts)</w:t>
            </w:r>
          </w:p>
        </w:tc>
      </w:tr>
      <w:tr w:rsidR="00645FCB" w:rsidRPr="001634E2" w14:paraId="290BF9F7" w14:textId="77777777" w:rsidTr="001634E2">
        <w:trPr>
          <w:trHeight w:val="417"/>
        </w:trPr>
        <w:tc>
          <w:tcPr>
            <w:tcW w:w="5000" w:type="pct"/>
            <w:gridSpan w:val="7"/>
            <w:shd w:val="clear" w:color="auto" w:fill="FBE4D5" w:themeFill="accent2" w:themeFillTint="33"/>
          </w:tcPr>
          <w:p w14:paraId="60CC6722" w14:textId="17AFF7CA" w:rsidR="00645FCB" w:rsidRPr="001634E2" w:rsidRDefault="00645FCB" w:rsidP="001634E2">
            <w:pPr>
              <w:rPr>
                <w:rFonts w:eastAsia="Times New Roman" w:cs="Arial"/>
                <w:b/>
                <w:color w:val="000000"/>
                <w:sz w:val="16"/>
                <w:szCs w:val="16"/>
              </w:rPr>
            </w:pPr>
            <w:r>
              <w:rPr>
                <w:rFonts w:eastAsia="Times New Roman" w:cs="Arial"/>
                <w:b/>
                <w:bCs/>
                <w:color w:val="000000"/>
                <w:sz w:val="16"/>
                <w:szCs w:val="16"/>
                <w:lang w:val="fr-FR"/>
              </w:rPr>
              <w:t>Résultat/s intermédiaire/s</w:t>
            </w:r>
          </w:p>
          <w:p w14:paraId="11774E85" w14:textId="77777777" w:rsidR="00645FCB" w:rsidRPr="001634E2" w:rsidRDefault="00645FCB" w:rsidP="001634E2">
            <w:pPr>
              <w:rPr>
                <w:rFonts w:eastAsia="Times New Roman" w:cs="Arial"/>
                <w:color w:val="000000"/>
                <w:sz w:val="16"/>
                <w:szCs w:val="16"/>
              </w:rPr>
            </w:pPr>
          </w:p>
        </w:tc>
      </w:tr>
      <w:tr w:rsidR="001634E2" w:rsidRPr="00880085" w14:paraId="5105C72B" w14:textId="77777777" w:rsidTr="001634E2">
        <w:trPr>
          <w:trHeight w:val="207"/>
        </w:trPr>
        <w:tc>
          <w:tcPr>
            <w:tcW w:w="1021" w:type="pct"/>
          </w:tcPr>
          <w:p w14:paraId="28BC089F" w14:textId="4D3429D5" w:rsidR="00645FCB" w:rsidRPr="00BD3D80" w:rsidRDefault="00645FCB" w:rsidP="001634E2">
            <w:pPr>
              <w:rPr>
                <w:rFonts w:eastAsia="Times New Roman" w:cs="Arial"/>
                <w:color w:val="000000"/>
                <w:sz w:val="16"/>
                <w:szCs w:val="16"/>
                <w:lang w:val="fr-FR"/>
              </w:rPr>
            </w:pPr>
            <w:r>
              <w:rPr>
                <w:rFonts w:eastAsia="Times New Roman" w:cs="Arial"/>
                <w:b/>
                <w:bCs/>
                <w:color w:val="000000"/>
                <w:sz w:val="16"/>
                <w:szCs w:val="16"/>
                <w:lang w:val="fr-FR"/>
              </w:rPr>
              <w:t>Résultat</w:t>
            </w:r>
            <w:r w:rsidR="002C54BD">
              <w:rPr>
                <w:rFonts w:eastAsia="Times New Roman" w:cs="Arial"/>
                <w:b/>
                <w:bCs/>
                <w:color w:val="000000"/>
                <w:sz w:val="16"/>
                <w:szCs w:val="16"/>
                <w:lang w:val="fr-FR"/>
              </w:rPr>
              <w:t> </w:t>
            </w:r>
            <w:r>
              <w:rPr>
                <w:rFonts w:eastAsia="Times New Roman" w:cs="Arial"/>
                <w:b/>
                <w:bCs/>
                <w:color w:val="000000"/>
                <w:sz w:val="16"/>
                <w:szCs w:val="16"/>
                <w:lang w:val="fr-FR"/>
              </w:rPr>
              <w:t>1.1</w:t>
            </w:r>
            <w:r>
              <w:rPr>
                <w:rFonts w:eastAsia="Times New Roman" w:cs="Arial"/>
                <w:color w:val="000000"/>
                <w:sz w:val="16"/>
                <w:szCs w:val="16"/>
                <w:lang w:val="fr-FR"/>
              </w:rPr>
              <w:t xml:space="preserve"> </w:t>
            </w:r>
            <w:r>
              <w:rPr>
                <w:rFonts w:eastAsia="Times New Roman" w:cs="Arial"/>
                <w:i/>
                <w:iCs/>
                <w:color w:val="000000"/>
                <w:sz w:val="16"/>
                <w:szCs w:val="16"/>
                <w:lang w:val="fr-FR"/>
              </w:rPr>
              <w:t>(</w:t>
            </w:r>
            <w:proofErr w:type="spellStart"/>
            <w:r>
              <w:rPr>
                <w:rFonts w:eastAsia="Times New Roman" w:cs="Arial"/>
                <w:i/>
                <w:iCs/>
                <w:color w:val="000000"/>
                <w:sz w:val="16"/>
                <w:szCs w:val="16"/>
                <w:lang w:val="fr-FR"/>
              </w:rPr>
              <w:t>TdC</w:t>
            </w:r>
            <w:proofErr w:type="spellEnd"/>
            <w:r>
              <w:rPr>
                <w:rFonts w:eastAsia="Times New Roman" w:cs="Arial"/>
                <w:i/>
                <w:iCs/>
                <w:color w:val="000000"/>
                <w:sz w:val="16"/>
                <w:szCs w:val="16"/>
                <w:lang w:val="fr-FR"/>
              </w:rPr>
              <w:t xml:space="preserve"> du </w:t>
            </w:r>
            <w:r w:rsidR="00716DEB">
              <w:rPr>
                <w:rFonts w:eastAsia="Times New Roman" w:cs="Arial"/>
                <w:i/>
                <w:iCs/>
                <w:color w:val="000000"/>
                <w:sz w:val="16"/>
                <w:szCs w:val="16"/>
                <w:lang w:val="fr-FR"/>
              </w:rPr>
              <w:t xml:space="preserve">Réseau de la société civile </w:t>
            </w:r>
            <w:r>
              <w:rPr>
                <w:rFonts w:eastAsia="Times New Roman" w:cs="Arial"/>
                <w:i/>
                <w:iCs/>
                <w:color w:val="000000"/>
                <w:sz w:val="16"/>
                <w:szCs w:val="16"/>
                <w:lang w:val="fr-FR"/>
              </w:rPr>
              <w:t xml:space="preserve">SUN = Résultat </w:t>
            </w:r>
            <w:r w:rsidR="00075914">
              <w:rPr>
                <w:rFonts w:eastAsia="Times New Roman" w:cs="Arial"/>
                <w:i/>
                <w:iCs/>
                <w:color w:val="000000"/>
                <w:sz w:val="16"/>
                <w:szCs w:val="16"/>
                <w:lang w:val="fr-FR"/>
              </w:rPr>
              <w:t>intermédiaire</w:t>
            </w:r>
            <w:r w:rsidR="002C54BD">
              <w:rPr>
                <w:rFonts w:eastAsia="Times New Roman" w:cs="Arial"/>
                <w:i/>
                <w:iCs/>
                <w:color w:val="000000"/>
                <w:sz w:val="16"/>
                <w:szCs w:val="16"/>
                <w:lang w:val="fr-FR"/>
              </w:rPr>
              <w:t> </w:t>
            </w:r>
            <w:r>
              <w:rPr>
                <w:rFonts w:eastAsia="Times New Roman" w:cs="Arial"/>
                <w:i/>
                <w:iCs/>
                <w:color w:val="000000"/>
                <w:sz w:val="16"/>
                <w:szCs w:val="16"/>
                <w:lang w:val="fr-FR"/>
              </w:rPr>
              <w:t>1.4)</w:t>
            </w:r>
            <w:r>
              <w:rPr>
                <w:rFonts w:eastAsia="Times New Roman" w:cs="Arial"/>
                <w:color w:val="000000"/>
                <w:sz w:val="16"/>
                <w:szCs w:val="16"/>
                <w:lang w:val="fr-FR"/>
              </w:rPr>
              <w:t xml:space="preserve"> La société civile </w:t>
            </w:r>
            <w:r w:rsidR="00E30F08">
              <w:rPr>
                <w:rFonts w:eastAsia="Times New Roman" w:cs="Arial"/>
                <w:color w:val="000000"/>
                <w:sz w:val="16"/>
                <w:szCs w:val="16"/>
                <w:lang w:val="fr-FR"/>
              </w:rPr>
              <w:t xml:space="preserve">est </w:t>
            </w:r>
            <w:r>
              <w:rPr>
                <w:rFonts w:eastAsia="Times New Roman" w:cs="Arial"/>
                <w:color w:val="000000"/>
                <w:sz w:val="16"/>
                <w:szCs w:val="16"/>
                <w:lang w:val="fr-FR"/>
              </w:rPr>
              <w:t xml:space="preserve">considérée comme un acteur clé dans les processus de planification nationaux et façonne des </w:t>
            </w:r>
            <w:r w:rsidR="0029661A">
              <w:rPr>
                <w:rFonts w:eastAsia="Times New Roman" w:cs="Arial"/>
                <w:color w:val="000000"/>
                <w:sz w:val="16"/>
                <w:szCs w:val="16"/>
                <w:lang w:val="fr-FR"/>
              </w:rPr>
              <w:t xml:space="preserve">plans </w:t>
            </w:r>
            <w:r w:rsidR="00BA3A65">
              <w:rPr>
                <w:rFonts w:eastAsia="Times New Roman" w:cs="Arial"/>
                <w:color w:val="000000"/>
                <w:sz w:val="16"/>
                <w:szCs w:val="16"/>
                <w:lang w:val="fr-FR"/>
              </w:rPr>
              <w:t xml:space="preserve">nationaux </w:t>
            </w:r>
            <w:r w:rsidR="0029661A">
              <w:rPr>
                <w:rFonts w:eastAsia="Times New Roman" w:cs="Arial"/>
                <w:color w:val="000000"/>
                <w:sz w:val="16"/>
                <w:szCs w:val="16"/>
                <w:lang w:val="fr-FR"/>
              </w:rPr>
              <w:t>de nutrition</w:t>
            </w:r>
            <w:r>
              <w:rPr>
                <w:rFonts w:eastAsia="Times New Roman" w:cs="Arial"/>
                <w:color w:val="000000"/>
                <w:sz w:val="16"/>
                <w:szCs w:val="16"/>
                <w:lang w:val="fr-FR"/>
              </w:rPr>
              <w:t xml:space="preserve"> </w:t>
            </w:r>
          </w:p>
        </w:tc>
        <w:tc>
          <w:tcPr>
            <w:tcW w:w="903" w:type="pct"/>
          </w:tcPr>
          <w:p w14:paraId="7279D9F9" w14:textId="15BD0EA6" w:rsidR="00645FCB" w:rsidRPr="00BD3D80" w:rsidRDefault="00645FCB" w:rsidP="001634E2">
            <w:pPr>
              <w:rPr>
                <w:rFonts w:eastAsia="Times New Roman" w:cs="Arial"/>
                <w:color w:val="000000"/>
                <w:sz w:val="16"/>
                <w:szCs w:val="16"/>
                <w:lang w:val="fr-FR"/>
              </w:rPr>
            </w:pPr>
            <w:r>
              <w:rPr>
                <w:rFonts w:eastAsia="Times New Roman" w:cs="Arial"/>
                <w:color w:val="000000"/>
                <w:sz w:val="16"/>
                <w:szCs w:val="16"/>
                <w:lang w:val="fr-FR"/>
              </w:rPr>
              <w:t xml:space="preserve">Nombre de contributions/demandes/recommandations des ASC prises en compte dans les plans/politiques nationaux ou </w:t>
            </w:r>
            <w:r w:rsidR="00075914">
              <w:rPr>
                <w:rFonts w:eastAsia="Times New Roman" w:cs="Arial"/>
                <w:color w:val="000000"/>
                <w:sz w:val="16"/>
                <w:szCs w:val="16"/>
                <w:lang w:val="fr-FR"/>
              </w:rPr>
              <w:t>infra</w:t>
            </w:r>
            <w:r>
              <w:rPr>
                <w:rFonts w:eastAsia="Times New Roman" w:cs="Arial"/>
                <w:color w:val="000000"/>
                <w:sz w:val="16"/>
                <w:szCs w:val="16"/>
                <w:lang w:val="fr-FR"/>
              </w:rPr>
              <w:t>nationaux (par exemple, contributions techniques, recommandations et mises</w:t>
            </w:r>
            <w:r w:rsidR="00075914">
              <w:rPr>
                <w:rFonts w:eastAsia="Times New Roman" w:cs="Arial"/>
                <w:color w:val="000000"/>
                <w:sz w:val="16"/>
                <w:szCs w:val="16"/>
                <w:lang w:val="fr-FR"/>
              </w:rPr>
              <w:t xml:space="preserve"> </w:t>
            </w:r>
            <w:r>
              <w:rPr>
                <w:rFonts w:eastAsia="Times New Roman" w:cs="Arial"/>
                <w:color w:val="000000"/>
                <w:sz w:val="16"/>
                <w:szCs w:val="16"/>
                <w:lang w:val="fr-FR"/>
              </w:rPr>
              <w:t>en œuvre/applications correspondantes).</w:t>
            </w:r>
          </w:p>
          <w:p w14:paraId="50A389E9" w14:textId="77777777" w:rsidR="00645FCB" w:rsidRPr="00BD3D80" w:rsidRDefault="00645FCB" w:rsidP="001634E2">
            <w:pPr>
              <w:rPr>
                <w:rFonts w:eastAsia="Times New Roman" w:cs="Arial"/>
                <w:color w:val="000000"/>
                <w:sz w:val="16"/>
                <w:szCs w:val="16"/>
                <w:lang w:val="fr-FR"/>
              </w:rPr>
            </w:pPr>
          </w:p>
        </w:tc>
        <w:tc>
          <w:tcPr>
            <w:tcW w:w="698" w:type="pct"/>
            <w:gridSpan w:val="2"/>
          </w:tcPr>
          <w:p w14:paraId="3BA3E69F" w14:textId="043E15CB" w:rsidR="00645FCB" w:rsidRPr="00BD3D80" w:rsidRDefault="00645FCB" w:rsidP="001634E2">
            <w:pPr>
              <w:rPr>
                <w:rFonts w:eastAsia="Times New Roman" w:cs="Arial"/>
                <w:color w:val="000000"/>
                <w:sz w:val="16"/>
                <w:szCs w:val="16"/>
                <w:lang w:val="fr-FR"/>
              </w:rPr>
            </w:pPr>
            <w:r>
              <w:rPr>
                <w:rFonts w:eastAsia="Times New Roman" w:cs="Arial"/>
                <w:color w:val="000000"/>
                <w:sz w:val="16"/>
                <w:szCs w:val="16"/>
                <w:lang w:val="fr-FR"/>
              </w:rPr>
              <w:t xml:space="preserve">Procès-verbaux des réunions et projets de propositions/stratégies </w:t>
            </w:r>
          </w:p>
        </w:tc>
        <w:tc>
          <w:tcPr>
            <w:tcW w:w="646" w:type="pct"/>
          </w:tcPr>
          <w:p w14:paraId="1F740C52" w14:textId="7BE9CE9A" w:rsidR="00645FCB" w:rsidRPr="00BD3D80" w:rsidRDefault="00645FCB" w:rsidP="001634E2">
            <w:pPr>
              <w:rPr>
                <w:rFonts w:eastAsia="Times New Roman" w:cstheme="majorHAnsi"/>
                <w:sz w:val="16"/>
                <w:szCs w:val="16"/>
                <w:lang w:val="fr-FR"/>
              </w:rPr>
            </w:pPr>
            <w:r>
              <w:rPr>
                <w:rFonts w:eastAsia="Times New Roman" w:cstheme="majorHAnsi"/>
                <w:sz w:val="16"/>
                <w:szCs w:val="16"/>
                <w:lang w:val="fr-FR"/>
              </w:rPr>
              <w:t>5 contributions prises en compte en 2017</w:t>
            </w:r>
          </w:p>
        </w:tc>
        <w:tc>
          <w:tcPr>
            <w:tcW w:w="814" w:type="pct"/>
          </w:tcPr>
          <w:p w14:paraId="56961644" w14:textId="77777777" w:rsidR="00645FCB" w:rsidRPr="00BD3D80" w:rsidRDefault="00645FCB" w:rsidP="001634E2">
            <w:pPr>
              <w:rPr>
                <w:rFonts w:eastAsia="Times New Roman" w:cstheme="majorHAnsi"/>
                <w:sz w:val="16"/>
                <w:szCs w:val="16"/>
                <w:lang w:val="fr-FR"/>
              </w:rPr>
            </w:pPr>
            <w:r>
              <w:rPr>
                <w:rFonts w:eastAsia="Times New Roman" w:cstheme="majorHAnsi"/>
                <w:sz w:val="16"/>
                <w:szCs w:val="16"/>
                <w:lang w:val="fr-FR"/>
              </w:rPr>
              <w:t>P. ex. au moins 5 contributions</w:t>
            </w:r>
          </w:p>
          <w:p w14:paraId="2CEE9ACB" w14:textId="2D310921" w:rsidR="00645FCB" w:rsidRPr="00BD3D80" w:rsidRDefault="00645FCB" w:rsidP="001634E2">
            <w:pPr>
              <w:rPr>
                <w:rFonts w:eastAsia="Times New Roman" w:cstheme="majorHAnsi"/>
                <w:sz w:val="16"/>
                <w:szCs w:val="16"/>
                <w:lang w:val="fr-FR"/>
              </w:rPr>
            </w:pPr>
            <w:r>
              <w:rPr>
                <w:rFonts w:eastAsia="Times New Roman" w:cs="Arial"/>
                <w:color w:val="000000"/>
                <w:sz w:val="16"/>
                <w:szCs w:val="16"/>
                <w:lang w:val="fr-FR"/>
              </w:rPr>
              <w:t>(exemples de types de contributions</w:t>
            </w:r>
            <w:r w:rsidR="002C54BD">
              <w:rPr>
                <w:rFonts w:eastAsia="Times New Roman" w:cs="Arial"/>
                <w:color w:val="000000"/>
                <w:sz w:val="16"/>
                <w:szCs w:val="16"/>
                <w:lang w:val="fr-FR"/>
              </w:rPr>
              <w:t> </w:t>
            </w:r>
            <w:r>
              <w:rPr>
                <w:rFonts w:eastAsia="Times New Roman" w:cs="Arial"/>
                <w:color w:val="000000"/>
                <w:sz w:val="16"/>
                <w:szCs w:val="16"/>
                <w:lang w:val="fr-FR"/>
              </w:rPr>
              <w:t xml:space="preserve">: budget révisé, </w:t>
            </w:r>
            <w:r w:rsidR="00494D47">
              <w:rPr>
                <w:rFonts w:eastAsia="Times New Roman" w:cs="Arial"/>
                <w:color w:val="000000"/>
                <w:sz w:val="16"/>
                <w:szCs w:val="16"/>
                <w:lang w:val="fr-FR"/>
              </w:rPr>
              <w:t>sections de politiques/plans élaboré</w:t>
            </w:r>
            <w:r w:rsidR="005B1228">
              <w:rPr>
                <w:rFonts w:eastAsia="Times New Roman" w:cs="Arial"/>
                <w:color w:val="000000"/>
                <w:sz w:val="16"/>
                <w:szCs w:val="16"/>
                <w:lang w:val="fr-FR"/>
              </w:rPr>
              <w:t>e</w:t>
            </w:r>
            <w:r w:rsidR="00494D47">
              <w:rPr>
                <w:rFonts w:eastAsia="Times New Roman" w:cs="Arial"/>
                <w:color w:val="000000"/>
                <w:sz w:val="16"/>
                <w:szCs w:val="16"/>
                <w:lang w:val="fr-FR"/>
              </w:rPr>
              <w:t>s/révisé</w:t>
            </w:r>
            <w:r w:rsidR="004E72B7">
              <w:rPr>
                <w:rFonts w:eastAsia="Times New Roman" w:cs="Arial"/>
                <w:color w:val="000000"/>
                <w:sz w:val="16"/>
                <w:szCs w:val="16"/>
                <w:lang w:val="fr-FR"/>
              </w:rPr>
              <w:t>e</w:t>
            </w:r>
            <w:r w:rsidR="00494D47">
              <w:rPr>
                <w:rFonts w:eastAsia="Times New Roman" w:cs="Arial"/>
                <w:color w:val="000000"/>
                <w:sz w:val="16"/>
                <w:szCs w:val="16"/>
                <w:lang w:val="fr-FR"/>
              </w:rPr>
              <w:t>s</w:t>
            </w:r>
            <w:r>
              <w:rPr>
                <w:rFonts w:eastAsia="Times New Roman" w:cs="Arial"/>
                <w:color w:val="000000"/>
                <w:sz w:val="16"/>
                <w:szCs w:val="16"/>
                <w:lang w:val="fr-FR"/>
              </w:rPr>
              <w:t xml:space="preserve">, </w:t>
            </w:r>
            <w:r w:rsidR="00494D47">
              <w:rPr>
                <w:rFonts w:eastAsia="Times New Roman" w:cs="Arial"/>
                <w:color w:val="000000"/>
                <w:sz w:val="16"/>
                <w:szCs w:val="16"/>
                <w:lang w:val="fr-FR"/>
              </w:rPr>
              <w:lastRenderedPageBreak/>
              <w:t xml:space="preserve">révision/contribution pour garantir un bon </w:t>
            </w:r>
            <w:r>
              <w:rPr>
                <w:rFonts w:eastAsia="Times New Roman" w:cs="Arial"/>
                <w:color w:val="000000"/>
                <w:sz w:val="16"/>
                <w:szCs w:val="16"/>
                <w:lang w:val="fr-FR"/>
              </w:rPr>
              <w:t>ciblage, etc.)</w:t>
            </w:r>
          </w:p>
        </w:tc>
        <w:tc>
          <w:tcPr>
            <w:tcW w:w="918" w:type="pct"/>
          </w:tcPr>
          <w:p w14:paraId="58B52DD8" w14:textId="7B0FC501" w:rsidR="00645FCB" w:rsidRPr="00BD3D80" w:rsidRDefault="00645FCB" w:rsidP="001634E2">
            <w:pPr>
              <w:rPr>
                <w:rFonts w:eastAsia="Times New Roman" w:cs="Arial"/>
                <w:color w:val="000000"/>
                <w:sz w:val="16"/>
                <w:szCs w:val="16"/>
                <w:lang w:val="fr-FR"/>
              </w:rPr>
            </w:pPr>
            <w:r>
              <w:rPr>
                <w:rFonts w:eastAsia="Times New Roman" w:cs="Arial"/>
                <w:color w:val="000000"/>
                <w:sz w:val="16"/>
                <w:szCs w:val="16"/>
                <w:lang w:val="fr-FR"/>
              </w:rPr>
              <w:lastRenderedPageBreak/>
              <w:t>P. ex. au moins 15 contributions dans les 5 politiques/stratégies (exemples de types de contributions</w:t>
            </w:r>
            <w:r w:rsidR="002C54BD">
              <w:rPr>
                <w:rFonts w:eastAsia="Times New Roman" w:cs="Arial"/>
                <w:color w:val="000000"/>
                <w:sz w:val="16"/>
                <w:szCs w:val="16"/>
                <w:lang w:val="fr-FR"/>
              </w:rPr>
              <w:t> </w:t>
            </w:r>
            <w:r>
              <w:rPr>
                <w:rFonts w:eastAsia="Times New Roman" w:cs="Arial"/>
                <w:color w:val="000000"/>
                <w:sz w:val="16"/>
                <w:szCs w:val="16"/>
                <w:lang w:val="fr-FR"/>
              </w:rPr>
              <w:t xml:space="preserve">: budget révisé, </w:t>
            </w:r>
            <w:r w:rsidR="00AD4300">
              <w:rPr>
                <w:rFonts w:eastAsia="Times New Roman" w:cs="Arial"/>
                <w:color w:val="000000"/>
                <w:sz w:val="16"/>
                <w:szCs w:val="16"/>
                <w:lang w:val="fr-FR"/>
              </w:rPr>
              <w:t>sections de politiques/plans élaboré</w:t>
            </w:r>
            <w:r w:rsidR="004E72B7">
              <w:rPr>
                <w:rFonts w:eastAsia="Times New Roman" w:cs="Arial"/>
                <w:color w:val="000000"/>
                <w:sz w:val="16"/>
                <w:szCs w:val="16"/>
                <w:lang w:val="fr-FR"/>
              </w:rPr>
              <w:t>e</w:t>
            </w:r>
            <w:r w:rsidR="00AD4300">
              <w:rPr>
                <w:rFonts w:eastAsia="Times New Roman" w:cs="Arial"/>
                <w:color w:val="000000"/>
                <w:sz w:val="16"/>
                <w:szCs w:val="16"/>
                <w:lang w:val="fr-FR"/>
              </w:rPr>
              <w:t>s/révisé</w:t>
            </w:r>
            <w:r w:rsidR="004E72B7">
              <w:rPr>
                <w:rFonts w:eastAsia="Times New Roman" w:cs="Arial"/>
                <w:color w:val="000000"/>
                <w:sz w:val="16"/>
                <w:szCs w:val="16"/>
                <w:lang w:val="fr-FR"/>
              </w:rPr>
              <w:t>e</w:t>
            </w:r>
            <w:r w:rsidR="00AD4300">
              <w:rPr>
                <w:rFonts w:eastAsia="Times New Roman" w:cs="Arial"/>
                <w:color w:val="000000"/>
                <w:sz w:val="16"/>
                <w:szCs w:val="16"/>
                <w:lang w:val="fr-FR"/>
              </w:rPr>
              <w:t xml:space="preserve">s, révision/contribution pour garantir un bon </w:t>
            </w:r>
            <w:r>
              <w:rPr>
                <w:rFonts w:eastAsia="Times New Roman" w:cs="Arial"/>
                <w:color w:val="000000"/>
                <w:sz w:val="16"/>
                <w:szCs w:val="16"/>
                <w:lang w:val="fr-FR"/>
              </w:rPr>
              <w:t>ciblage, etc.)</w:t>
            </w:r>
          </w:p>
        </w:tc>
      </w:tr>
      <w:tr w:rsidR="00645FCB" w:rsidRPr="001634E2" w14:paraId="4ECB320A" w14:textId="77777777" w:rsidTr="001634E2">
        <w:trPr>
          <w:trHeight w:val="207"/>
        </w:trPr>
        <w:tc>
          <w:tcPr>
            <w:tcW w:w="5000" w:type="pct"/>
            <w:gridSpan w:val="7"/>
            <w:shd w:val="clear" w:color="auto" w:fill="FBE4D5" w:themeFill="accent2" w:themeFillTint="33"/>
          </w:tcPr>
          <w:p w14:paraId="6A44B8B7" w14:textId="0ADE10A3" w:rsidR="00645FCB" w:rsidRPr="001634E2" w:rsidRDefault="00645FCB" w:rsidP="001634E2">
            <w:pPr>
              <w:rPr>
                <w:rFonts w:eastAsia="Times New Roman" w:cs="Arial"/>
                <w:b/>
                <w:color w:val="000000"/>
                <w:sz w:val="16"/>
                <w:szCs w:val="16"/>
              </w:rPr>
            </w:pPr>
            <w:r>
              <w:rPr>
                <w:rFonts w:eastAsia="Times New Roman" w:cs="Arial"/>
                <w:b/>
                <w:bCs/>
                <w:color w:val="000000"/>
                <w:sz w:val="16"/>
                <w:szCs w:val="16"/>
                <w:lang w:val="fr-FR"/>
              </w:rPr>
              <w:t xml:space="preserve">Produit(s) </w:t>
            </w:r>
          </w:p>
        </w:tc>
      </w:tr>
      <w:tr w:rsidR="001634E2" w:rsidRPr="00880085" w14:paraId="72441A57" w14:textId="77777777" w:rsidTr="001634E2">
        <w:trPr>
          <w:trHeight w:val="207"/>
        </w:trPr>
        <w:tc>
          <w:tcPr>
            <w:tcW w:w="1021" w:type="pct"/>
          </w:tcPr>
          <w:p w14:paraId="65B6AC30" w14:textId="132EA7EF" w:rsidR="00645FCB" w:rsidRPr="00BD3D80" w:rsidRDefault="00645FCB" w:rsidP="001634E2">
            <w:pPr>
              <w:rPr>
                <w:rFonts w:eastAsia="Times New Roman" w:cs="Arial"/>
                <w:color w:val="000000"/>
                <w:sz w:val="16"/>
                <w:szCs w:val="16"/>
                <w:lang w:val="fr-FR"/>
              </w:rPr>
            </w:pPr>
            <w:r>
              <w:rPr>
                <w:rFonts w:eastAsia="Times New Roman" w:cstheme="majorHAnsi"/>
                <w:sz w:val="16"/>
                <w:szCs w:val="16"/>
                <w:lang w:val="fr-FR"/>
              </w:rPr>
              <w:t xml:space="preserve">1.1.3 Mises à jour, briefings et recommandations stratégiques aux responsables politiques </w:t>
            </w:r>
          </w:p>
        </w:tc>
        <w:tc>
          <w:tcPr>
            <w:tcW w:w="903" w:type="pct"/>
          </w:tcPr>
          <w:p w14:paraId="2BF89909" w14:textId="471A04B8" w:rsidR="00645FCB" w:rsidRPr="00BD3D80" w:rsidRDefault="00645FCB" w:rsidP="001634E2">
            <w:pPr>
              <w:rPr>
                <w:rFonts w:eastAsia="Times New Roman" w:cs="Arial"/>
                <w:color w:val="000000"/>
                <w:sz w:val="16"/>
                <w:szCs w:val="16"/>
                <w:lang w:val="fr-FR"/>
              </w:rPr>
            </w:pPr>
            <w:r>
              <w:rPr>
                <w:rFonts w:eastAsia="Times New Roman" w:cstheme="majorHAnsi"/>
                <w:sz w:val="16"/>
                <w:szCs w:val="16"/>
                <w:lang w:val="fr-FR"/>
              </w:rPr>
              <w:t>Nombre de décideurs (nationaux/</w:t>
            </w:r>
            <w:r w:rsidR="00075914">
              <w:rPr>
                <w:rFonts w:eastAsia="Times New Roman" w:cstheme="majorHAnsi"/>
                <w:sz w:val="16"/>
                <w:szCs w:val="16"/>
                <w:lang w:val="fr-FR"/>
              </w:rPr>
              <w:t>infra</w:t>
            </w:r>
            <w:r>
              <w:rPr>
                <w:rFonts w:eastAsia="Times New Roman" w:cstheme="majorHAnsi"/>
                <w:sz w:val="16"/>
                <w:szCs w:val="16"/>
                <w:lang w:val="fr-FR"/>
              </w:rPr>
              <w:t>nationaux) ayant reçu des briefings, des mises à jour, des recommandations (ventilés par sexe)</w:t>
            </w:r>
          </w:p>
        </w:tc>
        <w:tc>
          <w:tcPr>
            <w:tcW w:w="698" w:type="pct"/>
            <w:gridSpan w:val="2"/>
          </w:tcPr>
          <w:p w14:paraId="55916C6A" w14:textId="24E87C4E" w:rsidR="00645FCB" w:rsidRPr="00BD3D80" w:rsidRDefault="00645FCB" w:rsidP="001634E2">
            <w:pPr>
              <w:rPr>
                <w:rFonts w:eastAsia="Times New Roman" w:cs="Arial"/>
                <w:color w:val="000000"/>
                <w:sz w:val="16"/>
                <w:szCs w:val="16"/>
                <w:lang w:val="fr-FR"/>
              </w:rPr>
            </w:pPr>
            <w:r>
              <w:rPr>
                <w:rFonts w:eastAsia="Times New Roman" w:cs="Arial"/>
                <w:color w:val="000000"/>
                <w:sz w:val="16"/>
                <w:szCs w:val="16"/>
                <w:lang w:val="fr-FR"/>
              </w:rPr>
              <w:t xml:space="preserve">Registre des parties prenantes recevant des mises à jour (S&amp;E </w:t>
            </w:r>
            <w:r w:rsidR="00075914">
              <w:rPr>
                <w:rFonts w:eastAsia="Times New Roman" w:cs="Arial"/>
                <w:color w:val="000000"/>
                <w:sz w:val="16"/>
                <w:szCs w:val="16"/>
                <w:lang w:val="fr-FR"/>
              </w:rPr>
              <w:t>de l’</w:t>
            </w:r>
            <w:r>
              <w:rPr>
                <w:rFonts w:eastAsia="Times New Roman" w:cs="Arial"/>
                <w:color w:val="000000"/>
                <w:sz w:val="16"/>
                <w:szCs w:val="16"/>
                <w:lang w:val="fr-FR"/>
              </w:rPr>
              <w:t>ASC)</w:t>
            </w:r>
          </w:p>
        </w:tc>
        <w:tc>
          <w:tcPr>
            <w:tcW w:w="646" w:type="pct"/>
          </w:tcPr>
          <w:p w14:paraId="444EC33D" w14:textId="4C8CB704" w:rsidR="00645FCB" w:rsidRPr="00BD3D80" w:rsidRDefault="00645FCB" w:rsidP="001634E2">
            <w:pPr>
              <w:rPr>
                <w:rFonts w:eastAsia="Times New Roman" w:cs="Arial"/>
                <w:color w:val="000000"/>
                <w:sz w:val="16"/>
                <w:szCs w:val="16"/>
                <w:lang w:val="fr-FR"/>
              </w:rPr>
            </w:pPr>
            <w:r>
              <w:rPr>
                <w:rFonts w:eastAsia="Times New Roman" w:cs="Arial"/>
                <w:color w:val="000000"/>
                <w:sz w:val="16"/>
                <w:szCs w:val="16"/>
                <w:lang w:val="fr-FR"/>
              </w:rPr>
              <w:t xml:space="preserve">10 décideurs politiques (de la plateforme </w:t>
            </w:r>
            <w:proofErr w:type="spellStart"/>
            <w:r>
              <w:rPr>
                <w:rFonts w:eastAsia="Times New Roman" w:cs="Arial"/>
                <w:color w:val="000000"/>
                <w:sz w:val="16"/>
                <w:szCs w:val="16"/>
                <w:lang w:val="fr-FR"/>
              </w:rPr>
              <w:t>multiacteurs</w:t>
            </w:r>
            <w:proofErr w:type="spellEnd"/>
            <w:r>
              <w:rPr>
                <w:rFonts w:eastAsia="Times New Roman" w:cs="Arial"/>
                <w:color w:val="000000"/>
                <w:sz w:val="16"/>
                <w:szCs w:val="16"/>
                <w:lang w:val="fr-FR"/>
              </w:rPr>
              <w:t xml:space="preserve"> nationale)</w:t>
            </w:r>
          </w:p>
        </w:tc>
        <w:tc>
          <w:tcPr>
            <w:tcW w:w="814" w:type="pct"/>
          </w:tcPr>
          <w:p w14:paraId="300198A4" w14:textId="526082BE" w:rsidR="00645FCB" w:rsidRPr="00BD3D80" w:rsidRDefault="00645FCB" w:rsidP="001634E2">
            <w:pPr>
              <w:rPr>
                <w:rFonts w:eastAsia="Times New Roman" w:cs="Arial"/>
                <w:color w:val="000000"/>
                <w:sz w:val="16"/>
                <w:szCs w:val="16"/>
                <w:lang w:val="fr-FR"/>
              </w:rPr>
            </w:pPr>
            <w:r>
              <w:rPr>
                <w:rFonts w:eastAsia="Times New Roman" w:cs="Arial"/>
                <w:color w:val="000000"/>
                <w:sz w:val="16"/>
                <w:szCs w:val="16"/>
                <w:lang w:val="fr-FR"/>
              </w:rPr>
              <w:t>Niveau du district : 5 dont 3 décideurs et 2 dirigeants régionaux (2 femmes)</w:t>
            </w:r>
          </w:p>
          <w:p w14:paraId="7B13C1D0" w14:textId="0BFDDF60" w:rsidR="00645FCB" w:rsidRPr="001634E2" w:rsidRDefault="00645FCB" w:rsidP="001634E2">
            <w:pPr>
              <w:rPr>
                <w:rFonts w:eastAsia="Times New Roman" w:cs="Arial"/>
                <w:color w:val="000000"/>
                <w:sz w:val="16"/>
                <w:szCs w:val="16"/>
              </w:rPr>
            </w:pPr>
            <w:r>
              <w:rPr>
                <w:rFonts w:eastAsia="Times New Roman" w:cs="Arial"/>
                <w:color w:val="000000"/>
                <w:sz w:val="16"/>
                <w:szCs w:val="16"/>
                <w:lang w:val="fr-FR"/>
              </w:rPr>
              <w:t xml:space="preserve">Niveau national : 10 </w:t>
            </w:r>
          </w:p>
        </w:tc>
        <w:tc>
          <w:tcPr>
            <w:tcW w:w="918" w:type="pct"/>
          </w:tcPr>
          <w:p w14:paraId="3FFF36B5" w14:textId="29040B5E" w:rsidR="00645FCB" w:rsidRPr="00BD3D80" w:rsidRDefault="00645FCB" w:rsidP="001634E2">
            <w:pPr>
              <w:rPr>
                <w:rFonts w:eastAsia="Times New Roman" w:cs="Arial"/>
                <w:color w:val="000000"/>
                <w:sz w:val="16"/>
                <w:szCs w:val="16"/>
                <w:lang w:val="fr-FR"/>
              </w:rPr>
            </w:pPr>
            <w:r>
              <w:rPr>
                <w:rFonts w:eastAsia="Times New Roman" w:cs="Arial"/>
                <w:color w:val="000000"/>
                <w:sz w:val="16"/>
                <w:szCs w:val="16"/>
                <w:lang w:val="fr-FR"/>
              </w:rPr>
              <w:t>Plus de 50 (dont de nouveaux décideurs à informer)</w:t>
            </w:r>
          </w:p>
        </w:tc>
      </w:tr>
    </w:tbl>
    <w:p w14:paraId="555BF1D4" w14:textId="6ED30F8E" w:rsidR="00803B4E" w:rsidRPr="00BD3D80" w:rsidRDefault="00803B4E" w:rsidP="00DD1B2D">
      <w:pPr>
        <w:rPr>
          <w:b/>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sectPr w:rsidR="00803B4E" w:rsidRPr="00BD3D80" w:rsidSect="001634E2">
          <w:pgSz w:w="16838" w:h="11906" w:orient="landscape"/>
          <w:pgMar w:top="709" w:right="1440" w:bottom="1276" w:left="993" w:header="708" w:footer="708" w:gutter="0"/>
          <w:cols w:space="708"/>
          <w:docGrid w:linePitch="360"/>
        </w:sectPr>
      </w:pPr>
    </w:p>
    <w:p w14:paraId="5ABD90BD" w14:textId="0A435D38" w:rsidR="000948C1" w:rsidRPr="00BD3D80" w:rsidRDefault="000948C1" w:rsidP="00DD1B2D">
      <w:pPr>
        <w:rPr>
          <w:b/>
          <w:color w:val="FFC000" w:themeColor="accent4"/>
          <w:sz w:val="36"/>
          <w:szCs w:val="36"/>
          <w:lang w:val="fr-FR"/>
          <w14:textOutline w14:w="0" w14:cap="flat" w14:cmpd="sng" w14:algn="ctr">
            <w14:noFill/>
            <w14:prstDash w14:val="solid"/>
            <w14:round/>
          </w14:textOutline>
          <w14:props3d w14:extrusionH="57150" w14:contourW="0" w14:prstMaterial="softEdge">
            <w14:bevelT w14:w="25400" w14:h="38100" w14:prst="circle"/>
          </w14:props3d>
        </w:rPr>
      </w:pPr>
    </w:p>
    <w:sdt>
      <w:sdtPr>
        <w:rPr>
          <w:rFonts w:asciiTheme="minorHAnsi" w:eastAsiaTheme="minorHAnsi" w:hAnsiTheme="minorHAnsi" w:cstheme="minorBidi"/>
          <w:color w:val="auto"/>
          <w:sz w:val="22"/>
          <w:szCs w:val="22"/>
          <w:lang w:val="en-GB"/>
        </w:rPr>
        <w:id w:val="921914939"/>
        <w:docPartObj>
          <w:docPartGallery w:val="Table of Contents"/>
          <w:docPartUnique/>
        </w:docPartObj>
      </w:sdtPr>
      <w:sdtEndPr>
        <w:rPr>
          <w:bCs/>
          <w:noProof/>
        </w:rPr>
      </w:sdtEndPr>
      <w:sdtContent>
        <w:p w14:paraId="20976E31" w14:textId="2E4BDA00" w:rsidR="00834C72" w:rsidRPr="001A3B0A" w:rsidRDefault="00834C72" w:rsidP="00834C72">
          <w:pPr>
            <w:pStyle w:val="TOCHeading"/>
            <w:jc w:val="center"/>
          </w:pPr>
          <w:r>
            <w:rPr>
              <w:lang w:val="fr-FR"/>
            </w:rPr>
            <w:t>TABLE DES MATIÈRES</w:t>
          </w:r>
        </w:p>
        <w:p w14:paraId="45143ABA" w14:textId="33D5B00E" w:rsidR="004E72B7" w:rsidRDefault="00834C72">
          <w:pPr>
            <w:pStyle w:val="TOC1"/>
            <w:rPr>
              <w:rFonts w:eastAsiaTheme="minorEastAsia"/>
              <w:b w:val="0"/>
              <w:noProof/>
              <w:lang w:eastAsia="en-GB"/>
            </w:rPr>
          </w:pPr>
          <w:r>
            <w:rPr>
              <w:b w:val="0"/>
              <w:lang w:val="fr-FR"/>
            </w:rPr>
            <w:fldChar w:fldCharType="begin"/>
          </w:r>
          <w:r>
            <w:rPr>
              <w:b w:val="0"/>
            </w:rPr>
            <w:instrText xml:space="preserve"> TOC \o "1-3" \h \z \u </w:instrText>
          </w:r>
          <w:r>
            <w:rPr>
              <w:b w:val="0"/>
            </w:rPr>
            <w:fldChar w:fldCharType="separate"/>
          </w:r>
          <w:hyperlink w:anchor="_Toc37072344" w:history="1">
            <w:r w:rsidR="004E72B7" w:rsidRPr="004445C6">
              <w:rPr>
                <w:rStyle w:val="Hyperlink"/>
                <w:bCs/>
                <w:noProof/>
                <w:lang w:val="fr-FR"/>
              </w:rPr>
              <w:t>Indicateurs suggérés à utiliser dans les rapports</w:t>
            </w:r>
            <w:r w:rsidR="004E72B7">
              <w:rPr>
                <w:noProof/>
                <w:webHidden/>
              </w:rPr>
              <w:tab/>
            </w:r>
            <w:r w:rsidR="004E72B7">
              <w:rPr>
                <w:noProof/>
                <w:webHidden/>
              </w:rPr>
              <w:fldChar w:fldCharType="begin"/>
            </w:r>
            <w:r w:rsidR="004E72B7">
              <w:rPr>
                <w:noProof/>
                <w:webHidden/>
              </w:rPr>
              <w:instrText xml:space="preserve"> PAGEREF _Toc37072344 \h </w:instrText>
            </w:r>
            <w:r w:rsidR="004E72B7">
              <w:rPr>
                <w:noProof/>
                <w:webHidden/>
              </w:rPr>
            </w:r>
            <w:r w:rsidR="004E72B7">
              <w:rPr>
                <w:noProof/>
                <w:webHidden/>
              </w:rPr>
              <w:fldChar w:fldCharType="separate"/>
            </w:r>
            <w:r w:rsidR="004E72B7">
              <w:rPr>
                <w:noProof/>
                <w:webHidden/>
              </w:rPr>
              <w:t>6</w:t>
            </w:r>
            <w:r w:rsidR="004E72B7">
              <w:rPr>
                <w:noProof/>
                <w:webHidden/>
              </w:rPr>
              <w:fldChar w:fldCharType="end"/>
            </w:r>
          </w:hyperlink>
        </w:p>
        <w:p w14:paraId="341DBBFA" w14:textId="2780E7F7" w:rsidR="004E72B7" w:rsidRDefault="00880085">
          <w:pPr>
            <w:pStyle w:val="TOC2"/>
            <w:tabs>
              <w:tab w:val="right" w:leader="dot" w:pos="9016"/>
            </w:tabs>
            <w:rPr>
              <w:rFonts w:eastAsiaTheme="minorEastAsia"/>
              <w:noProof/>
              <w:lang w:eastAsia="en-GB"/>
            </w:rPr>
          </w:pPr>
          <w:hyperlink w:anchor="_Toc37072345" w:history="1">
            <w:r w:rsidR="004E72B7" w:rsidRPr="004445C6">
              <w:rPr>
                <w:rStyle w:val="Hyperlink"/>
                <w:b/>
                <w:bCs/>
                <w:noProof/>
                <w:lang w:val="fr-FR"/>
              </w:rPr>
              <w:t>Produits 1</w:t>
            </w:r>
            <w:r w:rsidR="004E72B7">
              <w:rPr>
                <w:noProof/>
                <w:webHidden/>
              </w:rPr>
              <w:tab/>
            </w:r>
            <w:r w:rsidR="004E72B7">
              <w:rPr>
                <w:noProof/>
                <w:webHidden/>
              </w:rPr>
              <w:fldChar w:fldCharType="begin"/>
            </w:r>
            <w:r w:rsidR="004E72B7">
              <w:rPr>
                <w:noProof/>
                <w:webHidden/>
              </w:rPr>
              <w:instrText xml:space="preserve"> PAGEREF _Toc37072345 \h </w:instrText>
            </w:r>
            <w:r w:rsidR="004E72B7">
              <w:rPr>
                <w:noProof/>
                <w:webHidden/>
              </w:rPr>
            </w:r>
            <w:r w:rsidR="004E72B7">
              <w:rPr>
                <w:noProof/>
                <w:webHidden/>
              </w:rPr>
              <w:fldChar w:fldCharType="separate"/>
            </w:r>
            <w:r w:rsidR="004E72B7">
              <w:rPr>
                <w:noProof/>
                <w:webHidden/>
              </w:rPr>
              <w:t>10</w:t>
            </w:r>
            <w:r w:rsidR="004E72B7">
              <w:rPr>
                <w:noProof/>
                <w:webHidden/>
              </w:rPr>
              <w:fldChar w:fldCharType="end"/>
            </w:r>
          </w:hyperlink>
        </w:p>
        <w:p w14:paraId="73C12774" w14:textId="44482522" w:rsidR="004E72B7" w:rsidRDefault="00880085">
          <w:pPr>
            <w:pStyle w:val="TOC2"/>
            <w:tabs>
              <w:tab w:val="right" w:leader="dot" w:pos="9016"/>
            </w:tabs>
            <w:rPr>
              <w:rFonts w:eastAsiaTheme="minorEastAsia"/>
              <w:noProof/>
              <w:lang w:eastAsia="en-GB"/>
            </w:rPr>
          </w:pPr>
          <w:hyperlink w:anchor="_Toc37072346" w:history="1">
            <w:r w:rsidR="004E72B7" w:rsidRPr="004445C6">
              <w:rPr>
                <w:rStyle w:val="Hyperlink"/>
                <w:b/>
                <w:bCs/>
                <w:noProof/>
                <w:lang w:val="fr-FR"/>
              </w:rPr>
              <w:t>Résultat 2 : (Suffisamment de ressources et de financement) Des ressources internationales et nationales sont mobilisées pour financer l'intégralité des plans nationaux de nutrition (PNN)</w:t>
            </w:r>
            <w:r w:rsidR="004E72B7">
              <w:rPr>
                <w:noProof/>
                <w:webHidden/>
              </w:rPr>
              <w:tab/>
            </w:r>
            <w:r w:rsidR="004E72B7">
              <w:rPr>
                <w:noProof/>
                <w:webHidden/>
              </w:rPr>
              <w:fldChar w:fldCharType="begin"/>
            </w:r>
            <w:r w:rsidR="004E72B7">
              <w:rPr>
                <w:noProof/>
                <w:webHidden/>
              </w:rPr>
              <w:instrText xml:space="preserve"> PAGEREF _Toc37072346 \h </w:instrText>
            </w:r>
            <w:r w:rsidR="004E72B7">
              <w:rPr>
                <w:noProof/>
                <w:webHidden/>
              </w:rPr>
            </w:r>
            <w:r w:rsidR="004E72B7">
              <w:rPr>
                <w:noProof/>
                <w:webHidden/>
              </w:rPr>
              <w:fldChar w:fldCharType="separate"/>
            </w:r>
            <w:r w:rsidR="004E72B7">
              <w:rPr>
                <w:noProof/>
                <w:webHidden/>
              </w:rPr>
              <w:t>14</w:t>
            </w:r>
            <w:r w:rsidR="004E72B7">
              <w:rPr>
                <w:noProof/>
                <w:webHidden/>
              </w:rPr>
              <w:fldChar w:fldCharType="end"/>
            </w:r>
          </w:hyperlink>
        </w:p>
        <w:p w14:paraId="541391D6" w14:textId="629800F2" w:rsidR="004E72B7" w:rsidRDefault="00880085">
          <w:pPr>
            <w:pStyle w:val="TOC2"/>
            <w:tabs>
              <w:tab w:val="right" w:leader="dot" w:pos="9016"/>
            </w:tabs>
            <w:rPr>
              <w:rFonts w:eastAsiaTheme="minorEastAsia"/>
              <w:noProof/>
              <w:lang w:eastAsia="en-GB"/>
            </w:rPr>
          </w:pPr>
          <w:hyperlink w:anchor="_Toc37072347" w:history="1">
            <w:r w:rsidR="004E72B7" w:rsidRPr="004445C6">
              <w:rPr>
                <w:rStyle w:val="Hyperlink"/>
                <w:b/>
                <w:bCs/>
                <w:noProof/>
                <w:lang w:val="fr-FR"/>
              </w:rPr>
              <w:t>Produits 2</w:t>
            </w:r>
            <w:r w:rsidR="004E72B7">
              <w:rPr>
                <w:noProof/>
                <w:webHidden/>
              </w:rPr>
              <w:tab/>
            </w:r>
            <w:r w:rsidR="004E72B7">
              <w:rPr>
                <w:noProof/>
                <w:webHidden/>
              </w:rPr>
              <w:fldChar w:fldCharType="begin"/>
            </w:r>
            <w:r w:rsidR="004E72B7">
              <w:rPr>
                <w:noProof/>
                <w:webHidden/>
              </w:rPr>
              <w:instrText xml:space="preserve"> PAGEREF _Toc37072347 \h </w:instrText>
            </w:r>
            <w:r w:rsidR="004E72B7">
              <w:rPr>
                <w:noProof/>
                <w:webHidden/>
              </w:rPr>
            </w:r>
            <w:r w:rsidR="004E72B7">
              <w:rPr>
                <w:noProof/>
                <w:webHidden/>
              </w:rPr>
              <w:fldChar w:fldCharType="separate"/>
            </w:r>
            <w:r w:rsidR="004E72B7">
              <w:rPr>
                <w:noProof/>
                <w:webHidden/>
              </w:rPr>
              <w:t>15</w:t>
            </w:r>
            <w:r w:rsidR="004E72B7">
              <w:rPr>
                <w:noProof/>
                <w:webHidden/>
              </w:rPr>
              <w:fldChar w:fldCharType="end"/>
            </w:r>
          </w:hyperlink>
        </w:p>
        <w:p w14:paraId="0DCEB2F6" w14:textId="2E24A591" w:rsidR="004E72B7" w:rsidRDefault="00880085">
          <w:pPr>
            <w:pStyle w:val="TOC2"/>
            <w:tabs>
              <w:tab w:val="right" w:leader="dot" w:pos="9016"/>
            </w:tabs>
            <w:rPr>
              <w:rFonts w:eastAsiaTheme="minorEastAsia"/>
              <w:noProof/>
              <w:lang w:eastAsia="en-GB"/>
            </w:rPr>
          </w:pPr>
          <w:hyperlink w:anchor="_Toc37072348" w:history="1">
            <w:r w:rsidR="004E72B7" w:rsidRPr="004445C6">
              <w:rPr>
                <w:rStyle w:val="Hyperlink"/>
                <w:b/>
                <w:bCs/>
                <w:noProof/>
                <w:lang w:val="fr-FR"/>
              </w:rPr>
              <w:t>Résultat 3 – (Meilleure redevabilité) Les parties prenantes clés (gouvernements, société civile, Nations Unies, donateurs et secteur privé) sont en bonne voie pour tenir leurs engagements et apportent une contribution tangible à la réduction de la malnutrition</w:t>
            </w:r>
            <w:r w:rsidR="004E72B7">
              <w:rPr>
                <w:noProof/>
                <w:webHidden/>
              </w:rPr>
              <w:tab/>
            </w:r>
            <w:r w:rsidR="004E72B7">
              <w:rPr>
                <w:noProof/>
                <w:webHidden/>
              </w:rPr>
              <w:fldChar w:fldCharType="begin"/>
            </w:r>
            <w:r w:rsidR="004E72B7">
              <w:rPr>
                <w:noProof/>
                <w:webHidden/>
              </w:rPr>
              <w:instrText xml:space="preserve"> PAGEREF _Toc37072348 \h </w:instrText>
            </w:r>
            <w:r w:rsidR="004E72B7">
              <w:rPr>
                <w:noProof/>
                <w:webHidden/>
              </w:rPr>
            </w:r>
            <w:r w:rsidR="004E72B7">
              <w:rPr>
                <w:noProof/>
                <w:webHidden/>
              </w:rPr>
              <w:fldChar w:fldCharType="separate"/>
            </w:r>
            <w:r w:rsidR="004E72B7">
              <w:rPr>
                <w:noProof/>
                <w:webHidden/>
              </w:rPr>
              <w:t>18</w:t>
            </w:r>
            <w:r w:rsidR="004E72B7">
              <w:rPr>
                <w:noProof/>
                <w:webHidden/>
              </w:rPr>
              <w:fldChar w:fldCharType="end"/>
            </w:r>
          </w:hyperlink>
        </w:p>
        <w:p w14:paraId="4DB43047" w14:textId="60FD7E73" w:rsidR="004E72B7" w:rsidRDefault="00880085">
          <w:pPr>
            <w:pStyle w:val="TOC2"/>
            <w:tabs>
              <w:tab w:val="right" w:leader="dot" w:pos="9016"/>
            </w:tabs>
            <w:rPr>
              <w:rFonts w:eastAsiaTheme="minorEastAsia"/>
              <w:noProof/>
              <w:lang w:eastAsia="en-GB"/>
            </w:rPr>
          </w:pPr>
          <w:hyperlink w:anchor="_Toc37072349" w:history="1">
            <w:r w:rsidR="004E72B7" w:rsidRPr="004445C6">
              <w:rPr>
                <w:rStyle w:val="Hyperlink"/>
                <w:b/>
                <w:bCs/>
                <w:noProof/>
                <w:lang w:val="fr-FR"/>
              </w:rPr>
              <w:t>Produits 3</w:t>
            </w:r>
            <w:r w:rsidR="004E72B7">
              <w:rPr>
                <w:noProof/>
                <w:webHidden/>
              </w:rPr>
              <w:tab/>
            </w:r>
            <w:r w:rsidR="004E72B7">
              <w:rPr>
                <w:noProof/>
                <w:webHidden/>
              </w:rPr>
              <w:fldChar w:fldCharType="begin"/>
            </w:r>
            <w:r w:rsidR="004E72B7">
              <w:rPr>
                <w:noProof/>
                <w:webHidden/>
              </w:rPr>
              <w:instrText xml:space="preserve"> PAGEREF _Toc37072349 \h </w:instrText>
            </w:r>
            <w:r w:rsidR="004E72B7">
              <w:rPr>
                <w:noProof/>
                <w:webHidden/>
              </w:rPr>
            </w:r>
            <w:r w:rsidR="004E72B7">
              <w:rPr>
                <w:noProof/>
                <w:webHidden/>
              </w:rPr>
              <w:fldChar w:fldCharType="separate"/>
            </w:r>
            <w:r w:rsidR="004E72B7">
              <w:rPr>
                <w:noProof/>
                <w:webHidden/>
              </w:rPr>
              <w:t>19</w:t>
            </w:r>
            <w:r w:rsidR="004E72B7">
              <w:rPr>
                <w:noProof/>
                <w:webHidden/>
              </w:rPr>
              <w:fldChar w:fldCharType="end"/>
            </w:r>
          </w:hyperlink>
        </w:p>
        <w:p w14:paraId="14ACF461" w14:textId="11CB3ACA" w:rsidR="004E72B7" w:rsidRDefault="00880085">
          <w:pPr>
            <w:pStyle w:val="TOC2"/>
            <w:tabs>
              <w:tab w:val="right" w:leader="dot" w:pos="9016"/>
            </w:tabs>
            <w:rPr>
              <w:rFonts w:eastAsiaTheme="minorEastAsia"/>
              <w:noProof/>
              <w:lang w:eastAsia="en-GB"/>
            </w:rPr>
          </w:pPr>
          <w:hyperlink w:anchor="_Toc37072350" w:history="1">
            <w:r w:rsidR="004E72B7" w:rsidRPr="004445C6">
              <w:rPr>
                <w:rStyle w:val="Hyperlink"/>
                <w:b/>
                <w:bCs/>
                <w:noProof/>
                <w:lang w:val="fr-FR"/>
              </w:rPr>
              <w:t>Résultat 4 – (transversal) Une société civile forte contribuant aux interventions multiacteurs.</w:t>
            </w:r>
            <w:r w:rsidR="004E72B7">
              <w:rPr>
                <w:noProof/>
                <w:webHidden/>
              </w:rPr>
              <w:tab/>
            </w:r>
            <w:r w:rsidR="004E72B7">
              <w:rPr>
                <w:noProof/>
                <w:webHidden/>
              </w:rPr>
              <w:fldChar w:fldCharType="begin"/>
            </w:r>
            <w:r w:rsidR="004E72B7">
              <w:rPr>
                <w:noProof/>
                <w:webHidden/>
              </w:rPr>
              <w:instrText xml:space="preserve"> PAGEREF _Toc37072350 \h </w:instrText>
            </w:r>
            <w:r w:rsidR="004E72B7">
              <w:rPr>
                <w:noProof/>
                <w:webHidden/>
              </w:rPr>
            </w:r>
            <w:r w:rsidR="004E72B7">
              <w:rPr>
                <w:noProof/>
                <w:webHidden/>
              </w:rPr>
              <w:fldChar w:fldCharType="separate"/>
            </w:r>
            <w:r w:rsidR="004E72B7">
              <w:rPr>
                <w:noProof/>
                <w:webHidden/>
              </w:rPr>
              <w:t>22</w:t>
            </w:r>
            <w:r w:rsidR="004E72B7">
              <w:rPr>
                <w:noProof/>
                <w:webHidden/>
              </w:rPr>
              <w:fldChar w:fldCharType="end"/>
            </w:r>
          </w:hyperlink>
        </w:p>
        <w:p w14:paraId="4A27E5E2" w14:textId="642777CB" w:rsidR="004E72B7" w:rsidRDefault="00880085">
          <w:pPr>
            <w:pStyle w:val="TOC2"/>
            <w:tabs>
              <w:tab w:val="right" w:leader="dot" w:pos="9016"/>
            </w:tabs>
            <w:rPr>
              <w:rFonts w:eastAsiaTheme="minorEastAsia"/>
              <w:noProof/>
              <w:lang w:eastAsia="en-GB"/>
            </w:rPr>
          </w:pPr>
          <w:hyperlink w:anchor="_Toc37072351" w:history="1">
            <w:r w:rsidR="004E72B7" w:rsidRPr="004445C6">
              <w:rPr>
                <w:rStyle w:val="Hyperlink"/>
                <w:b/>
                <w:bCs/>
                <w:noProof/>
                <w:lang w:val="fr-FR"/>
              </w:rPr>
              <w:t>Produits 4</w:t>
            </w:r>
            <w:r w:rsidR="004E72B7">
              <w:rPr>
                <w:noProof/>
                <w:webHidden/>
              </w:rPr>
              <w:tab/>
            </w:r>
            <w:r w:rsidR="004E72B7">
              <w:rPr>
                <w:noProof/>
                <w:webHidden/>
              </w:rPr>
              <w:fldChar w:fldCharType="begin"/>
            </w:r>
            <w:r w:rsidR="004E72B7">
              <w:rPr>
                <w:noProof/>
                <w:webHidden/>
              </w:rPr>
              <w:instrText xml:space="preserve"> PAGEREF _Toc37072351 \h </w:instrText>
            </w:r>
            <w:r w:rsidR="004E72B7">
              <w:rPr>
                <w:noProof/>
                <w:webHidden/>
              </w:rPr>
            </w:r>
            <w:r w:rsidR="004E72B7">
              <w:rPr>
                <w:noProof/>
                <w:webHidden/>
              </w:rPr>
              <w:fldChar w:fldCharType="separate"/>
            </w:r>
            <w:r w:rsidR="004E72B7">
              <w:rPr>
                <w:noProof/>
                <w:webHidden/>
              </w:rPr>
              <w:t>24</w:t>
            </w:r>
            <w:r w:rsidR="004E72B7">
              <w:rPr>
                <w:noProof/>
                <w:webHidden/>
              </w:rPr>
              <w:fldChar w:fldCharType="end"/>
            </w:r>
          </w:hyperlink>
        </w:p>
        <w:p w14:paraId="77AAF53A" w14:textId="7E41C56C" w:rsidR="004E72B7" w:rsidRDefault="00880085">
          <w:pPr>
            <w:pStyle w:val="TOC2"/>
            <w:tabs>
              <w:tab w:val="right" w:leader="dot" w:pos="9016"/>
            </w:tabs>
            <w:rPr>
              <w:rFonts w:eastAsiaTheme="minorEastAsia"/>
              <w:noProof/>
              <w:lang w:eastAsia="en-GB"/>
            </w:rPr>
          </w:pPr>
          <w:hyperlink w:anchor="_Toc37072352" w:history="1">
            <w:r w:rsidR="004E72B7" w:rsidRPr="004445C6">
              <w:rPr>
                <w:rStyle w:val="Hyperlink"/>
                <w:b/>
                <w:bCs/>
                <w:noProof/>
                <w:lang w:val="fr-FR"/>
              </w:rPr>
              <w:t>ANNEXE 1 - Indices</w:t>
            </w:r>
            <w:r w:rsidR="004E72B7">
              <w:rPr>
                <w:noProof/>
                <w:webHidden/>
              </w:rPr>
              <w:tab/>
            </w:r>
            <w:r w:rsidR="004E72B7">
              <w:rPr>
                <w:noProof/>
                <w:webHidden/>
              </w:rPr>
              <w:fldChar w:fldCharType="begin"/>
            </w:r>
            <w:r w:rsidR="004E72B7">
              <w:rPr>
                <w:noProof/>
                <w:webHidden/>
              </w:rPr>
              <w:instrText xml:space="preserve"> PAGEREF _Toc37072352 \h </w:instrText>
            </w:r>
            <w:r w:rsidR="004E72B7">
              <w:rPr>
                <w:noProof/>
                <w:webHidden/>
              </w:rPr>
            </w:r>
            <w:r w:rsidR="004E72B7">
              <w:rPr>
                <w:noProof/>
                <w:webHidden/>
              </w:rPr>
              <w:fldChar w:fldCharType="separate"/>
            </w:r>
            <w:r w:rsidR="004E72B7">
              <w:rPr>
                <w:noProof/>
                <w:webHidden/>
              </w:rPr>
              <w:t>30</w:t>
            </w:r>
            <w:r w:rsidR="004E72B7">
              <w:rPr>
                <w:noProof/>
                <w:webHidden/>
              </w:rPr>
              <w:fldChar w:fldCharType="end"/>
            </w:r>
          </w:hyperlink>
        </w:p>
        <w:p w14:paraId="436F0342" w14:textId="75FED917" w:rsidR="00834C72" w:rsidRPr="001A3B0A" w:rsidRDefault="00834C72" w:rsidP="00834C72">
          <w:pPr>
            <w:rPr>
              <w:bCs/>
              <w:noProof/>
            </w:rPr>
          </w:pPr>
          <w:r>
            <w:rPr>
              <w:bCs/>
              <w:noProof/>
            </w:rPr>
            <w:fldChar w:fldCharType="end"/>
          </w:r>
        </w:p>
      </w:sdtContent>
    </w:sdt>
    <w:p w14:paraId="70A67447" w14:textId="45725F61" w:rsidR="002C3674" w:rsidRPr="00BD3D80" w:rsidRDefault="002C3674" w:rsidP="00347DFD">
      <w:pPr>
        <w:pStyle w:val="Heading1"/>
        <w:rPr>
          <w:b/>
          <w:color w:val="FFC000" w:themeColor="accent4"/>
          <w:sz w:val="44"/>
          <w:szCs w:val="44"/>
          <w:lang w:val="fr-FR"/>
        </w:rPr>
      </w:pPr>
      <w:bookmarkStart w:id="2" w:name="_Toc37072344"/>
      <w:r>
        <w:rPr>
          <w:b/>
          <w:bCs/>
          <w:color w:val="FFC000" w:themeColor="accent4"/>
          <w:sz w:val="44"/>
          <w:szCs w:val="44"/>
          <w:lang w:val="fr-FR"/>
        </w:rPr>
        <w:t xml:space="preserve">Indicateurs suggérés à utiliser </w:t>
      </w:r>
      <w:r w:rsidR="005F2DD3">
        <w:rPr>
          <w:b/>
          <w:bCs/>
          <w:color w:val="FFC000" w:themeColor="accent4"/>
          <w:sz w:val="44"/>
          <w:szCs w:val="44"/>
          <w:lang w:val="fr-FR"/>
        </w:rPr>
        <w:t>dans les</w:t>
      </w:r>
      <w:r>
        <w:rPr>
          <w:b/>
          <w:bCs/>
          <w:color w:val="FFC000" w:themeColor="accent4"/>
          <w:sz w:val="44"/>
          <w:szCs w:val="44"/>
          <w:lang w:val="fr-FR"/>
        </w:rPr>
        <w:t xml:space="preserve"> rapports</w:t>
      </w:r>
      <w:bookmarkEnd w:id="2"/>
    </w:p>
    <w:p w14:paraId="3E4FD0F1" w14:textId="1F074287" w:rsidR="00834C72" w:rsidRPr="00BD3D80" w:rsidRDefault="001D4568" w:rsidP="00834C72">
      <w:pPr>
        <w:jc w:val="center"/>
        <w:rPr>
          <w:rFonts w:eastAsia="Times New Roman" w:cstheme="majorHAnsi"/>
          <w:b/>
          <w:bCs/>
          <w:color w:val="000000"/>
          <w:sz w:val="20"/>
          <w:szCs w:val="20"/>
          <w:lang w:val="fr-FR"/>
        </w:rPr>
      </w:pPr>
      <w:r>
        <w:rPr>
          <w:rFonts w:eastAsia="Times New Roman" w:cstheme="majorHAnsi"/>
          <w:b/>
          <w:bCs/>
          <w:color w:val="000000"/>
          <w:sz w:val="20"/>
          <w:szCs w:val="20"/>
          <w:lang w:val="fr-FR"/>
        </w:rPr>
        <w:t>BUT</w:t>
      </w:r>
      <w:r w:rsidR="00834C72">
        <w:rPr>
          <w:rFonts w:eastAsia="Times New Roman" w:cstheme="majorHAnsi"/>
          <w:b/>
          <w:bCs/>
          <w:color w:val="000000"/>
          <w:sz w:val="20"/>
          <w:szCs w:val="20"/>
          <w:lang w:val="fr-FR"/>
        </w:rPr>
        <w:t xml:space="preserve"> GLOBAL</w:t>
      </w:r>
      <w:r w:rsidR="002C54BD">
        <w:rPr>
          <w:rFonts w:eastAsia="Times New Roman" w:cstheme="majorHAnsi"/>
          <w:b/>
          <w:bCs/>
          <w:color w:val="000000"/>
          <w:sz w:val="20"/>
          <w:szCs w:val="20"/>
          <w:lang w:val="fr-FR"/>
        </w:rPr>
        <w:t> </w:t>
      </w:r>
      <w:r w:rsidR="00834C72">
        <w:rPr>
          <w:rFonts w:eastAsia="Times New Roman" w:cstheme="majorHAnsi"/>
          <w:b/>
          <w:bCs/>
          <w:color w:val="000000"/>
          <w:sz w:val="20"/>
          <w:szCs w:val="20"/>
          <w:lang w:val="fr-FR"/>
        </w:rPr>
        <w:t>: D</w:t>
      </w:r>
      <w:r w:rsidR="002C54BD">
        <w:rPr>
          <w:rFonts w:eastAsia="Times New Roman" w:cstheme="majorHAnsi"/>
          <w:b/>
          <w:bCs/>
          <w:color w:val="000000"/>
          <w:sz w:val="20"/>
          <w:szCs w:val="20"/>
          <w:lang w:val="fr-FR"/>
        </w:rPr>
        <w:t>’</w:t>
      </w:r>
      <w:r w:rsidR="00834C72">
        <w:rPr>
          <w:rFonts w:eastAsia="Times New Roman" w:cstheme="majorHAnsi"/>
          <w:b/>
          <w:bCs/>
          <w:color w:val="000000"/>
          <w:sz w:val="20"/>
          <w:szCs w:val="20"/>
          <w:lang w:val="fr-FR"/>
        </w:rPr>
        <w:t>ici à la fin de 2020, les pays SUN seront en voie d’atteindre les cibles des ODD et de l</w:t>
      </w:r>
      <w:r w:rsidR="002C54BD">
        <w:rPr>
          <w:rFonts w:eastAsia="Times New Roman" w:cstheme="majorHAnsi"/>
          <w:b/>
          <w:bCs/>
          <w:color w:val="000000"/>
          <w:sz w:val="20"/>
          <w:szCs w:val="20"/>
          <w:lang w:val="fr-FR"/>
        </w:rPr>
        <w:t>’</w:t>
      </w:r>
      <w:r w:rsidR="00834C72">
        <w:rPr>
          <w:rFonts w:eastAsia="Times New Roman" w:cstheme="majorHAnsi"/>
          <w:b/>
          <w:bCs/>
          <w:color w:val="000000"/>
          <w:sz w:val="20"/>
          <w:szCs w:val="20"/>
          <w:lang w:val="fr-FR"/>
        </w:rPr>
        <w:t>AMS et d’importants progrès auront été accomplis pour réduire la malnutrition, la dénutrition et les retards de croissance</w:t>
      </w:r>
    </w:p>
    <w:p w14:paraId="2C948303" w14:textId="5872E26E" w:rsidR="00347DFD" w:rsidRPr="00BD3D80" w:rsidRDefault="00347DFD" w:rsidP="00347DFD">
      <w:pPr>
        <w:rPr>
          <w:rFonts w:eastAsia="Times New Roman" w:cstheme="majorHAnsi"/>
          <w:b/>
          <w:bCs/>
          <w:color w:val="000000"/>
          <w:sz w:val="20"/>
          <w:szCs w:val="20"/>
          <w:lang w:val="fr-FR"/>
        </w:rPr>
      </w:pPr>
    </w:p>
    <w:p w14:paraId="4A6575B8" w14:textId="5458324C" w:rsidR="00347DFD" w:rsidRPr="00BD3D80" w:rsidRDefault="00347DFD" w:rsidP="00347DFD">
      <w:pPr>
        <w:rPr>
          <w:rFonts w:eastAsia="Times New Roman" w:cs="Arial"/>
          <w:b/>
          <w:color w:val="000000"/>
          <w:sz w:val="20"/>
          <w:szCs w:val="20"/>
          <w:lang w:val="fr-FR"/>
        </w:rPr>
      </w:pPr>
      <w:r>
        <w:rPr>
          <w:rFonts w:eastAsia="Times New Roman" w:cs="Arial"/>
          <w:b/>
          <w:bCs/>
          <w:color w:val="000000"/>
          <w:sz w:val="20"/>
          <w:szCs w:val="20"/>
          <w:lang w:val="fr-FR"/>
        </w:rPr>
        <w:t xml:space="preserve">PORTÉE : </w:t>
      </w:r>
      <w:r>
        <w:rPr>
          <w:rFonts w:eastAsia="Times New Roman" w:cs="Arial"/>
          <w:color w:val="000000"/>
          <w:sz w:val="20"/>
          <w:szCs w:val="20"/>
          <w:lang w:val="fr-FR"/>
        </w:rPr>
        <w:t xml:space="preserve">Chaque Alliance de la société civile et </w:t>
      </w:r>
      <w:r w:rsidR="00716DEB">
        <w:rPr>
          <w:rFonts w:eastAsia="Times New Roman" w:cs="Arial"/>
          <w:color w:val="000000"/>
          <w:sz w:val="20"/>
          <w:szCs w:val="20"/>
          <w:lang w:val="fr-FR"/>
        </w:rPr>
        <w:t xml:space="preserve">Réseau de la société civile </w:t>
      </w:r>
      <w:r>
        <w:rPr>
          <w:rFonts w:eastAsia="Times New Roman" w:cs="Arial"/>
          <w:color w:val="000000"/>
          <w:sz w:val="20"/>
          <w:szCs w:val="20"/>
          <w:lang w:val="fr-FR"/>
        </w:rPr>
        <w:t>fera rapport sur la «</w:t>
      </w:r>
      <w:r w:rsidR="002C54BD">
        <w:rPr>
          <w:rFonts w:eastAsia="Times New Roman" w:cs="Arial"/>
          <w:color w:val="000000"/>
          <w:sz w:val="20"/>
          <w:szCs w:val="20"/>
          <w:lang w:val="fr-FR"/>
        </w:rPr>
        <w:t> </w:t>
      </w:r>
      <w:r>
        <w:rPr>
          <w:rFonts w:eastAsia="Times New Roman" w:cs="Arial"/>
          <w:color w:val="000000"/>
          <w:sz w:val="20"/>
          <w:szCs w:val="20"/>
          <w:lang w:val="fr-FR"/>
        </w:rPr>
        <w:t>portée</w:t>
      </w:r>
      <w:r w:rsidR="002C54BD">
        <w:rPr>
          <w:rFonts w:eastAsia="Times New Roman" w:cs="Arial"/>
          <w:color w:val="000000"/>
          <w:sz w:val="20"/>
          <w:szCs w:val="20"/>
          <w:lang w:val="fr-FR"/>
        </w:rPr>
        <w:t> </w:t>
      </w:r>
      <w:r>
        <w:rPr>
          <w:rFonts w:eastAsia="Times New Roman" w:cs="Arial"/>
          <w:color w:val="000000"/>
          <w:sz w:val="20"/>
          <w:szCs w:val="20"/>
          <w:lang w:val="fr-FR"/>
        </w:rPr>
        <w:t>» en fonction de l</w:t>
      </w:r>
      <w:r w:rsidR="002C54BD">
        <w:rPr>
          <w:rFonts w:eastAsia="Times New Roman" w:cs="Arial"/>
          <w:color w:val="000000"/>
          <w:sz w:val="20"/>
          <w:szCs w:val="20"/>
          <w:lang w:val="fr-FR"/>
        </w:rPr>
        <w:t>’</w:t>
      </w:r>
      <w:r>
        <w:rPr>
          <w:rFonts w:eastAsia="Times New Roman" w:cs="Arial"/>
          <w:color w:val="000000"/>
          <w:sz w:val="20"/>
          <w:szCs w:val="20"/>
          <w:lang w:val="fr-FR"/>
        </w:rPr>
        <w:t>indicateur choisi pour les produits et les résultats. Les indicateurs de portée nous fournissent des informations très précieuses qui peuvent être liées à l</w:t>
      </w:r>
      <w:r w:rsidR="002C54BD">
        <w:rPr>
          <w:rFonts w:eastAsia="Times New Roman" w:cs="Arial"/>
          <w:color w:val="000000"/>
          <w:sz w:val="20"/>
          <w:szCs w:val="20"/>
          <w:lang w:val="fr-FR"/>
        </w:rPr>
        <w:t>’</w:t>
      </w:r>
      <w:r>
        <w:rPr>
          <w:rFonts w:eastAsia="Times New Roman" w:cs="Arial"/>
          <w:color w:val="000000"/>
          <w:sz w:val="20"/>
          <w:szCs w:val="20"/>
          <w:lang w:val="fr-FR"/>
        </w:rPr>
        <w:t>ampleur de l</w:t>
      </w:r>
      <w:r w:rsidR="002C54BD">
        <w:rPr>
          <w:rFonts w:eastAsia="Times New Roman" w:cs="Arial"/>
          <w:color w:val="000000"/>
          <w:sz w:val="20"/>
          <w:szCs w:val="20"/>
          <w:lang w:val="fr-FR"/>
        </w:rPr>
        <w:t>’</w:t>
      </w:r>
      <w:r>
        <w:rPr>
          <w:rFonts w:eastAsia="Times New Roman" w:cs="Arial"/>
          <w:color w:val="000000"/>
          <w:sz w:val="20"/>
          <w:szCs w:val="20"/>
          <w:lang w:val="fr-FR"/>
        </w:rPr>
        <w:t>impact.</w:t>
      </w:r>
      <w:r>
        <w:rPr>
          <w:rFonts w:eastAsia="Times New Roman" w:cs="Arial"/>
          <w:i/>
          <w:iCs/>
          <w:color w:val="000000"/>
          <w:sz w:val="20"/>
          <w:szCs w:val="20"/>
          <w:lang w:val="fr-FR"/>
        </w:rPr>
        <w:t xml:space="preserve"> Veuillez noter que tous les indicateurs ne devront pas être automatiquement ventilés par sexe</w:t>
      </w:r>
      <w:r>
        <w:rPr>
          <w:rFonts w:eastAsia="Times New Roman" w:cs="Arial"/>
          <w:color w:val="000000"/>
          <w:sz w:val="20"/>
          <w:szCs w:val="20"/>
          <w:lang w:val="fr-FR"/>
        </w:rPr>
        <w:t>.</w:t>
      </w:r>
      <w:r>
        <w:rPr>
          <w:rFonts w:eastAsia="Times New Roman" w:cs="Arial"/>
          <w:i/>
          <w:iCs/>
          <w:color w:val="000000"/>
          <w:sz w:val="20"/>
          <w:szCs w:val="20"/>
          <w:lang w:val="fr-FR"/>
        </w:rPr>
        <w:t xml:space="preserve"> Nous suggérons d</w:t>
      </w:r>
      <w:r w:rsidR="002C54BD">
        <w:rPr>
          <w:rFonts w:eastAsia="Times New Roman" w:cs="Arial"/>
          <w:i/>
          <w:iCs/>
          <w:color w:val="000000"/>
          <w:sz w:val="20"/>
          <w:szCs w:val="20"/>
          <w:lang w:val="fr-FR"/>
        </w:rPr>
        <w:t>’</w:t>
      </w:r>
      <w:r>
        <w:rPr>
          <w:rFonts w:eastAsia="Times New Roman" w:cs="Arial"/>
          <w:i/>
          <w:iCs/>
          <w:color w:val="000000"/>
          <w:sz w:val="20"/>
          <w:szCs w:val="20"/>
          <w:lang w:val="fr-FR"/>
        </w:rPr>
        <w:t>inclure au moins deux indicateurs de résultats ventilés par sexe.</w:t>
      </w:r>
    </w:p>
    <w:p w14:paraId="33907154" w14:textId="4929F4AE" w:rsidR="00D95186" w:rsidRPr="00BD3D80" w:rsidRDefault="00347DFD" w:rsidP="00347DFD">
      <w:pPr>
        <w:rPr>
          <w:rFonts w:eastAsia="Times New Roman" w:cstheme="majorHAnsi"/>
          <w:bCs/>
          <w:color w:val="000000"/>
          <w:sz w:val="20"/>
          <w:szCs w:val="20"/>
          <w:lang w:val="fr-FR"/>
        </w:rPr>
      </w:pPr>
      <w:r>
        <w:rPr>
          <w:rFonts w:eastAsia="Times New Roman" w:cstheme="majorHAnsi"/>
          <w:b/>
          <w:bCs/>
          <w:color w:val="000000"/>
          <w:sz w:val="20"/>
          <w:szCs w:val="20"/>
          <w:lang w:val="fr-FR"/>
        </w:rPr>
        <w:t xml:space="preserve">Indicateurs : </w:t>
      </w:r>
      <w:r>
        <w:rPr>
          <w:rFonts w:eastAsia="Times New Roman" w:cstheme="majorHAnsi"/>
          <w:color w:val="000000"/>
          <w:sz w:val="20"/>
          <w:szCs w:val="20"/>
          <w:lang w:val="fr-FR"/>
        </w:rPr>
        <w:t>Veuillez sélectionner les indicateurs pertinents pour la stratégie de votre Alliance de la société civile. Veuillez noter que plusieurs options d</w:t>
      </w:r>
      <w:r w:rsidR="002C54BD">
        <w:rPr>
          <w:rFonts w:eastAsia="Times New Roman" w:cstheme="majorHAnsi"/>
          <w:color w:val="000000"/>
          <w:sz w:val="20"/>
          <w:szCs w:val="20"/>
          <w:lang w:val="fr-FR"/>
        </w:rPr>
        <w:t>’</w:t>
      </w:r>
      <w:r>
        <w:rPr>
          <w:rFonts w:eastAsia="Times New Roman" w:cstheme="majorHAnsi"/>
          <w:color w:val="000000"/>
          <w:sz w:val="20"/>
          <w:szCs w:val="20"/>
          <w:lang w:val="fr-FR"/>
        </w:rPr>
        <w:t>indicateurs sont proposées pour le même résultat/produit</w:t>
      </w:r>
      <w:r w:rsidR="002C54BD">
        <w:rPr>
          <w:rFonts w:eastAsia="Times New Roman" w:cstheme="majorHAnsi"/>
          <w:color w:val="000000"/>
          <w:sz w:val="20"/>
          <w:szCs w:val="20"/>
          <w:lang w:val="fr-FR"/>
        </w:rPr>
        <w:t> </w:t>
      </w:r>
      <w:r>
        <w:rPr>
          <w:rFonts w:eastAsia="Times New Roman" w:cstheme="majorHAnsi"/>
          <w:color w:val="000000"/>
          <w:sz w:val="20"/>
          <w:szCs w:val="20"/>
          <w:lang w:val="fr-FR"/>
        </w:rPr>
        <w:t>; vous pouvez décider de n</w:t>
      </w:r>
      <w:r w:rsidR="002C54BD">
        <w:rPr>
          <w:rFonts w:eastAsia="Times New Roman" w:cstheme="majorHAnsi"/>
          <w:color w:val="000000"/>
          <w:sz w:val="20"/>
          <w:szCs w:val="20"/>
          <w:lang w:val="fr-FR"/>
        </w:rPr>
        <w:t>’</w:t>
      </w:r>
      <w:r>
        <w:rPr>
          <w:rFonts w:eastAsia="Times New Roman" w:cstheme="majorHAnsi"/>
          <w:color w:val="000000"/>
          <w:sz w:val="20"/>
          <w:szCs w:val="20"/>
          <w:lang w:val="fr-FR"/>
        </w:rPr>
        <w:t>en sélectionner qu</w:t>
      </w:r>
      <w:r w:rsidR="002C54BD">
        <w:rPr>
          <w:rFonts w:eastAsia="Times New Roman" w:cstheme="majorHAnsi"/>
          <w:color w:val="000000"/>
          <w:sz w:val="20"/>
          <w:szCs w:val="20"/>
          <w:lang w:val="fr-FR"/>
        </w:rPr>
        <w:t>’</w:t>
      </w:r>
      <w:r>
        <w:rPr>
          <w:rFonts w:eastAsia="Times New Roman" w:cstheme="majorHAnsi"/>
          <w:color w:val="000000"/>
          <w:sz w:val="20"/>
          <w:szCs w:val="20"/>
          <w:lang w:val="fr-FR"/>
        </w:rPr>
        <w:t xml:space="preserve">un ou plusieurs. </w:t>
      </w:r>
    </w:p>
    <w:p w14:paraId="0779AB12" w14:textId="44AB9E2F" w:rsidR="00EB67D8" w:rsidRPr="00BD3D80" w:rsidRDefault="00EB67D8" w:rsidP="00347DFD">
      <w:pPr>
        <w:rPr>
          <w:rFonts w:eastAsia="Times New Roman" w:cstheme="majorHAnsi"/>
          <w:bCs/>
          <w:color w:val="000000"/>
          <w:sz w:val="20"/>
          <w:szCs w:val="20"/>
          <w:lang w:val="fr-FR"/>
        </w:rPr>
      </w:pPr>
      <w:r>
        <w:rPr>
          <w:rFonts w:eastAsia="Times New Roman" w:cstheme="majorHAnsi"/>
          <w:b/>
          <w:bCs/>
          <w:color w:val="000000"/>
          <w:sz w:val="20"/>
          <w:szCs w:val="20"/>
          <w:lang w:val="fr-FR"/>
        </w:rPr>
        <w:t>Cibles</w:t>
      </w:r>
      <w:r w:rsidR="002C54BD">
        <w:rPr>
          <w:rFonts w:eastAsia="Times New Roman" w:cstheme="majorHAnsi"/>
          <w:color w:val="000000"/>
          <w:sz w:val="20"/>
          <w:szCs w:val="20"/>
          <w:lang w:val="fr-FR"/>
        </w:rPr>
        <w:t> </w:t>
      </w:r>
      <w:r>
        <w:rPr>
          <w:rFonts w:eastAsia="Times New Roman" w:cstheme="majorHAnsi"/>
          <w:color w:val="000000"/>
          <w:sz w:val="20"/>
          <w:szCs w:val="20"/>
          <w:lang w:val="fr-FR"/>
        </w:rPr>
        <w:t>: sélectionner des cibles en fonction d</w:t>
      </w:r>
      <w:r w:rsidR="002C54BD">
        <w:rPr>
          <w:rFonts w:eastAsia="Times New Roman" w:cstheme="majorHAnsi"/>
          <w:color w:val="000000"/>
          <w:sz w:val="20"/>
          <w:szCs w:val="20"/>
          <w:lang w:val="fr-FR"/>
        </w:rPr>
        <w:t>’</w:t>
      </w:r>
      <w:r>
        <w:rPr>
          <w:rFonts w:eastAsia="Times New Roman" w:cstheme="majorHAnsi"/>
          <w:color w:val="000000"/>
          <w:sz w:val="20"/>
          <w:szCs w:val="20"/>
          <w:lang w:val="fr-FR"/>
        </w:rPr>
        <w:t>une intervention à long, moyen et court terme. Résultats</w:t>
      </w:r>
      <w:r w:rsidR="001D4568">
        <w:rPr>
          <w:rFonts w:eastAsia="Times New Roman" w:cstheme="majorHAnsi"/>
          <w:color w:val="000000"/>
          <w:sz w:val="20"/>
          <w:szCs w:val="20"/>
          <w:lang w:val="fr-FR"/>
        </w:rPr>
        <w:t> </w:t>
      </w:r>
      <w:r>
        <w:rPr>
          <w:rFonts w:eastAsia="Times New Roman" w:cstheme="majorHAnsi"/>
          <w:color w:val="000000"/>
          <w:sz w:val="20"/>
          <w:szCs w:val="20"/>
          <w:lang w:val="fr-FR"/>
        </w:rPr>
        <w:t>intervention de 3 ans</w:t>
      </w:r>
      <w:r w:rsidR="00E7000E">
        <w:rPr>
          <w:rFonts w:eastAsia="Times New Roman" w:cstheme="majorHAnsi"/>
          <w:color w:val="000000"/>
          <w:sz w:val="20"/>
          <w:szCs w:val="20"/>
          <w:lang w:val="fr-FR"/>
        </w:rPr>
        <w:t>)</w:t>
      </w:r>
      <w:r w:rsidR="002C54BD">
        <w:rPr>
          <w:rFonts w:eastAsia="Times New Roman" w:cstheme="majorHAnsi"/>
          <w:color w:val="000000"/>
          <w:sz w:val="20"/>
          <w:szCs w:val="20"/>
          <w:lang w:val="fr-FR"/>
        </w:rPr>
        <w:t> </w:t>
      </w:r>
      <w:r>
        <w:rPr>
          <w:rFonts w:eastAsia="Times New Roman" w:cstheme="majorHAnsi"/>
          <w:color w:val="000000"/>
          <w:sz w:val="20"/>
          <w:szCs w:val="20"/>
          <w:lang w:val="fr-FR"/>
        </w:rPr>
        <w:t xml:space="preserve">; résultats intermédiaires </w:t>
      </w:r>
      <w:r w:rsidR="00E7000E">
        <w:rPr>
          <w:rFonts w:eastAsia="Times New Roman" w:cstheme="majorHAnsi"/>
          <w:color w:val="000000"/>
          <w:sz w:val="20"/>
          <w:szCs w:val="20"/>
          <w:lang w:val="fr-FR"/>
        </w:rPr>
        <w:t>(</w:t>
      </w:r>
      <w:r>
        <w:rPr>
          <w:rFonts w:eastAsia="Times New Roman" w:cstheme="majorHAnsi"/>
          <w:color w:val="000000"/>
          <w:sz w:val="20"/>
          <w:szCs w:val="20"/>
          <w:lang w:val="fr-FR"/>
        </w:rPr>
        <w:t>intervention de 1 ou 2 ans, où vous pouvez déjà constater des progrès au bout d</w:t>
      </w:r>
      <w:r w:rsidR="002C54BD">
        <w:rPr>
          <w:rFonts w:eastAsia="Times New Roman" w:cstheme="majorHAnsi"/>
          <w:color w:val="000000"/>
          <w:sz w:val="20"/>
          <w:szCs w:val="20"/>
          <w:lang w:val="fr-FR"/>
        </w:rPr>
        <w:t>’</w:t>
      </w:r>
      <w:r>
        <w:rPr>
          <w:rFonts w:eastAsia="Times New Roman" w:cstheme="majorHAnsi"/>
          <w:color w:val="000000"/>
          <w:sz w:val="20"/>
          <w:szCs w:val="20"/>
          <w:lang w:val="fr-FR"/>
        </w:rPr>
        <w:t>un an</w:t>
      </w:r>
      <w:r w:rsidR="00E7000E">
        <w:rPr>
          <w:rFonts w:eastAsia="Times New Roman" w:cstheme="majorHAnsi"/>
          <w:color w:val="000000"/>
          <w:sz w:val="20"/>
          <w:szCs w:val="20"/>
          <w:lang w:val="fr-FR"/>
        </w:rPr>
        <w:t>)</w:t>
      </w:r>
      <w:r w:rsidR="002C54BD">
        <w:rPr>
          <w:rFonts w:eastAsia="Times New Roman" w:cstheme="majorHAnsi"/>
          <w:color w:val="000000"/>
          <w:sz w:val="20"/>
          <w:szCs w:val="20"/>
          <w:lang w:val="fr-FR"/>
        </w:rPr>
        <w:t> </w:t>
      </w:r>
      <w:r w:rsidR="00E7000E">
        <w:rPr>
          <w:rFonts w:eastAsia="Times New Roman" w:cstheme="majorHAnsi"/>
          <w:color w:val="000000"/>
          <w:sz w:val="20"/>
          <w:szCs w:val="20"/>
          <w:lang w:val="fr-FR"/>
        </w:rPr>
        <w:t>; et</w:t>
      </w:r>
      <w:r>
        <w:rPr>
          <w:rFonts w:eastAsia="Times New Roman" w:cstheme="majorHAnsi"/>
          <w:color w:val="000000"/>
          <w:sz w:val="20"/>
          <w:szCs w:val="20"/>
          <w:lang w:val="fr-FR"/>
        </w:rPr>
        <w:t xml:space="preserve"> produits </w:t>
      </w:r>
      <w:r w:rsidR="00E7000E">
        <w:rPr>
          <w:rFonts w:eastAsia="Times New Roman" w:cstheme="majorHAnsi"/>
          <w:color w:val="000000"/>
          <w:sz w:val="20"/>
          <w:szCs w:val="20"/>
          <w:lang w:val="fr-FR"/>
        </w:rPr>
        <w:t>(cibles trimestrielles)</w:t>
      </w:r>
      <w:r>
        <w:rPr>
          <w:rFonts w:eastAsia="Times New Roman" w:cstheme="majorHAnsi"/>
          <w:color w:val="000000"/>
          <w:sz w:val="20"/>
          <w:szCs w:val="20"/>
          <w:lang w:val="fr-FR"/>
        </w:rPr>
        <w:t>.</w:t>
      </w:r>
    </w:p>
    <w:p w14:paraId="77493F08" w14:textId="756F454F" w:rsidR="00C03782" w:rsidRDefault="003D1EE0" w:rsidP="00C03782">
      <w:pPr>
        <w:rPr>
          <w:rFonts w:eastAsia="Times New Roman" w:cstheme="majorHAnsi"/>
          <w:color w:val="000000"/>
          <w:sz w:val="20"/>
          <w:szCs w:val="20"/>
          <w:lang w:val="fr-FR"/>
        </w:rPr>
      </w:pPr>
      <w:r>
        <w:rPr>
          <w:rFonts w:eastAsia="Times New Roman" w:cstheme="majorHAnsi"/>
          <w:b/>
          <w:bCs/>
          <w:color w:val="000000"/>
          <w:sz w:val="20"/>
          <w:szCs w:val="20"/>
          <w:lang w:val="fr-FR"/>
        </w:rPr>
        <w:t>Indices</w:t>
      </w:r>
      <w:r w:rsidR="002C54BD">
        <w:rPr>
          <w:rFonts w:eastAsia="Times New Roman" w:cstheme="majorHAnsi"/>
          <w:color w:val="000000"/>
          <w:sz w:val="20"/>
          <w:szCs w:val="20"/>
          <w:lang w:val="fr-FR"/>
        </w:rPr>
        <w:t> </w:t>
      </w:r>
      <w:r>
        <w:rPr>
          <w:rFonts w:eastAsia="Times New Roman" w:cstheme="majorHAnsi"/>
          <w:color w:val="000000"/>
          <w:sz w:val="20"/>
          <w:szCs w:val="20"/>
          <w:lang w:val="fr-FR"/>
        </w:rPr>
        <w:t>: un groupe d</w:t>
      </w:r>
      <w:r w:rsidR="002C54BD">
        <w:rPr>
          <w:rFonts w:eastAsia="Times New Roman" w:cstheme="majorHAnsi"/>
          <w:color w:val="000000"/>
          <w:sz w:val="20"/>
          <w:szCs w:val="20"/>
          <w:lang w:val="fr-FR"/>
        </w:rPr>
        <w:t>’</w:t>
      </w:r>
      <w:r>
        <w:rPr>
          <w:rFonts w:eastAsia="Times New Roman" w:cstheme="majorHAnsi"/>
          <w:color w:val="000000"/>
          <w:sz w:val="20"/>
          <w:szCs w:val="20"/>
          <w:lang w:val="fr-FR"/>
        </w:rPr>
        <w:t>indicateurs est utilisé pour constituer un «</w:t>
      </w:r>
      <w:r w:rsidR="002C54BD">
        <w:rPr>
          <w:rFonts w:eastAsia="Times New Roman" w:cstheme="majorHAnsi"/>
          <w:color w:val="000000"/>
          <w:sz w:val="20"/>
          <w:szCs w:val="20"/>
          <w:lang w:val="fr-FR"/>
        </w:rPr>
        <w:t> </w:t>
      </w:r>
      <w:r>
        <w:rPr>
          <w:rFonts w:eastAsia="Times New Roman" w:cstheme="majorHAnsi"/>
          <w:color w:val="000000"/>
          <w:sz w:val="20"/>
          <w:szCs w:val="20"/>
          <w:lang w:val="fr-FR"/>
        </w:rPr>
        <w:t>indice</w:t>
      </w:r>
      <w:r w:rsidR="002C54BD">
        <w:rPr>
          <w:rFonts w:eastAsia="Times New Roman" w:cstheme="majorHAnsi"/>
          <w:color w:val="000000"/>
          <w:sz w:val="20"/>
          <w:szCs w:val="20"/>
          <w:lang w:val="fr-FR"/>
        </w:rPr>
        <w:t> </w:t>
      </w:r>
      <w:r>
        <w:rPr>
          <w:rFonts w:eastAsia="Times New Roman" w:cstheme="majorHAnsi"/>
          <w:color w:val="000000"/>
          <w:sz w:val="20"/>
          <w:szCs w:val="20"/>
          <w:lang w:val="fr-FR"/>
        </w:rPr>
        <w:t xml:space="preserve">» qui est associé à </w:t>
      </w:r>
      <w:r w:rsidR="00E7000E">
        <w:rPr>
          <w:rFonts w:eastAsia="Times New Roman" w:cstheme="majorHAnsi"/>
          <w:color w:val="000000"/>
          <w:sz w:val="20"/>
          <w:szCs w:val="20"/>
          <w:lang w:val="fr-FR"/>
        </w:rPr>
        <w:t>une note</w:t>
      </w:r>
      <w:r>
        <w:rPr>
          <w:rFonts w:eastAsia="Times New Roman" w:cstheme="majorHAnsi"/>
          <w:color w:val="000000"/>
          <w:sz w:val="20"/>
          <w:szCs w:val="20"/>
          <w:lang w:val="fr-FR"/>
        </w:rPr>
        <w:t xml:space="preserve">, par exemple, la fonctionnalité </w:t>
      </w:r>
      <w:r w:rsidR="00342F08">
        <w:rPr>
          <w:rFonts w:eastAsia="Times New Roman" w:cstheme="majorHAnsi"/>
          <w:color w:val="000000"/>
          <w:sz w:val="20"/>
          <w:szCs w:val="20"/>
          <w:lang w:val="fr-FR"/>
        </w:rPr>
        <w:t xml:space="preserve">de la </w:t>
      </w:r>
      <w:r>
        <w:rPr>
          <w:rFonts w:eastAsia="Times New Roman" w:cstheme="majorHAnsi"/>
          <w:color w:val="000000"/>
          <w:sz w:val="20"/>
          <w:szCs w:val="20"/>
          <w:lang w:val="fr-FR"/>
        </w:rPr>
        <w:t xml:space="preserve">plateforme </w:t>
      </w:r>
      <w:proofErr w:type="spellStart"/>
      <w:r>
        <w:rPr>
          <w:rFonts w:eastAsia="Times New Roman" w:cstheme="majorHAnsi"/>
          <w:color w:val="000000"/>
          <w:sz w:val="20"/>
          <w:szCs w:val="20"/>
          <w:lang w:val="fr-FR"/>
        </w:rPr>
        <w:t>multiacteurs</w:t>
      </w:r>
      <w:proofErr w:type="spellEnd"/>
      <w:r>
        <w:rPr>
          <w:rFonts w:eastAsia="Times New Roman" w:cstheme="majorHAnsi"/>
          <w:color w:val="000000"/>
          <w:sz w:val="20"/>
          <w:szCs w:val="20"/>
          <w:lang w:val="fr-FR"/>
        </w:rPr>
        <w:t xml:space="preserve">, la gouvernance, la fonctionnalité </w:t>
      </w:r>
      <w:r w:rsidR="00342F08">
        <w:rPr>
          <w:rFonts w:eastAsia="Times New Roman" w:cstheme="majorHAnsi"/>
          <w:color w:val="000000"/>
          <w:sz w:val="20"/>
          <w:szCs w:val="20"/>
          <w:lang w:val="fr-FR"/>
        </w:rPr>
        <w:t>de l’</w:t>
      </w:r>
      <w:r>
        <w:rPr>
          <w:rFonts w:eastAsia="Times New Roman" w:cstheme="majorHAnsi"/>
          <w:color w:val="000000"/>
          <w:sz w:val="20"/>
          <w:szCs w:val="20"/>
          <w:lang w:val="fr-FR"/>
        </w:rPr>
        <w:t>Alliance de la société civile. Veuillez noter que nous recommandons de sélectionner tous les indicateurs connexes afin de fournir autant d</w:t>
      </w:r>
      <w:r w:rsidR="002C54BD">
        <w:rPr>
          <w:rFonts w:eastAsia="Times New Roman" w:cstheme="majorHAnsi"/>
          <w:color w:val="000000"/>
          <w:sz w:val="20"/>
          <w:szCs w:val="20"/>
          <w:lang w:val="fr-FR"/>
        </w:rPr>
        <w:t>’</w:t>
      </w:r>
      <w:r>
        <w:rPr>
          <w:rFonts w:eastAsia="Times New Roman" w:cstheme="majorHAnsi"/>
          <w:color w:val="000000"/>
          <w:sz w:val="20"/>
          <w:szCs w:val="20"/>
          <w:lang w:val="fr-FR"/>
        </w:rPr>
        <w:t xml:space="preserve">informations que possible pour noter cet indice. Les indicateurs qui contribuent aux indices sont signalés par un </w:t>
      </w:r>
      <w:r w:rsidR="00342F08">
        <w:rPr>
          <w:rFonts w:eastAsia="Times New Roman" w:cstheme="majorHAnsi"/>
          <w:color w:val="000000"/>
          <w:sz w:val="20"/>
          <w:szCs w:val="20"/>
          <w:lang w:val="fr-FR"/>
        </w:rPr>
        <w:t xml:space="preserve">astérisque </w:t>
      </w:r>
      <w:r>
        <w:rPr>
          <w:rFonts w:eastAsia="Times New Roman" w:cstheme="majorHAnsi"/>
          <w:color w:val="000000"/>
          <w:sz w:val="20"/>
          <w:szCs w:val="20"/>
          <w:lang w:val="fr-FR"/>
        </w:rPr>
        <w:t>«</w:t>
      </w:r>
      <w:r w:rsidR="002C54BD">
        <w:rPr>
          <w:rFonts w:eastAsia="Times New Roman" w:cstheme="majorHAnsi"/>
          <w:color w:val="000000"/>
          <w:sz w:val="20"/>
          <w:szCs w:val="20"/>
          <w:lang w:val="fr-FR"/>
        </w:rPr>
        <w:t> </w:t>
      </w:r>
      <w:r>
        <w:rPr>
          <w:rFonts w:eastAsia="Times New Roman" w:cstheme="majorHAnsi"/>
          <w:color w:val="000000"/>
          <w:sz w:val="20"/>
          <w:szCs w:val="20"/>
          <w:lang w:val="fr-FR"/>
        </w:rPr>
        <w:t>*</w:t>
      </w:r>
      <w:r w:rsidR="002C54BD">
        <w:rPr>
          <w:rFonts w:eastAsia="Times New Roman" w:cstheme="majorHAnsi"/>
          <w:color w:val="000000"/>
          <w:sz w:val="20"/>
          <w:szCs w:val="20"/>
          <w:lang w:val="fr-FR"/>
        </w:rPr>
        <w:t> </w:t>
      </w:r>
      <w:r>
        <w:rPr>
          <w:rFonts w:eastAsia="Times New Roman" w:cstheme="majorHAnsi"/>
          <w:color w:val="000000"/>
          <w:sz w:val="20"/>
          <w:szCs w:val="20"/>
          <w:lang w:val="fr-FR"/>
        </w:rPr>
        <w:t>».</w:t>
      </w:r>
    </w:p>
    <w:p w14:paraId="0D8EC5CC" w14:textId="77777777" w:rsidR="004147E9" w:rsidRDefault="004147E9">
      <w:pPr>
        <w:rPr>
          <w:b/>
          <w:bCs/>
          <w:color w:val="FFC000" w:themeColor="accent4"/>
          <w:sz w:val="28"/>
          <w:szCs w:val="28"/>
          <w:lang w:val="fr-FR"/>
        </w:rPr>
      </w:pPr>
      <w:r>
        <w:rPr>
          <w:b/>
          <w:bCs/>
          <w:color w:val="FFC000" w:themeColor="accent4"/>
          <w:sz w:val="28"/>
          <w:szCs w:val="28"/>
          <w:lang w:val="fr-FR"/>
        </w:rPr>
        <w:br w:type="page"/>
      </w:r>
    </w:p>
    <w:p w14:paraId="6FD1F026" w14:textId="6980CEEA" w:rsidR="00347DFD" w:rsidRPr="00C03782" w:rsidRDefault="00347DFD" w:rsidP="00C03782">
      <w:pPr>
        <w:rPr>
          <w:rFonts w:eastAsia="Times New Roman" w:cstheme="majorHAnsi"/>
          <w:bCs/>
          <w:color w:val="000000"/>
          <w:sz w:val="20"/>
          <w:szCs w:val="20"/>
          <w:lang w:val="fr-FR"/>
        </w:rPr>
      </w:pPr>
      <w:r>
        <w:rPr>
          <w:b/>
          <w:bCs/>
          <w:color w:val="FFC000" w:themeColor="accent4"/>
          <w:sz w:val="28"/>
          <w:szCs w:val="28"/>
          <w:lang w:val="fr-FR"/>
        </w:rPr>
        <w:lastRenderedPageBreak/>
        <w:t>Portée :</w:t>
      </w:r>
    </w:p>
    <w:p w14:paraId="586AC03A" w14:textId="77777777" w:rsidR="00347DFD" w:rsidRPr="00347DFD" w:rsidRDefault="00347DFD" w:rsidP="00347DFD"/>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5244"/>
      </w:tblGrid>
      <w:tr w:rsidR="00D03141" w:rsidRPr="009A4786" w14:paraId="3F3DD2AA" w14:textId="77777777" w:rsidTr="00AF221E">
        <w:trPr>
          <w:trHeight w:val="375"/>
        </w:trPr>
        <w:tc>
          <w:tcPr>
            <w:tcW w:w="2153" w:type="pct"/>
            <w:shd w:val="clear" w:color="000000" w:fill="FFFFFF"/>
          </w:tcPr>
          <w:p w14:paraId="7FC69044" w14:textId="6DCD8E60" w:rsidR="00D03141" w:rsidRPr="00BD3D80" w:rsidRDefault="002C3674" w:rsidP="00EF2807">
            <w:pPr>
              <w:spacing w:after="0" w:line="240" w:lineRule="auto"/>
              <w:rPr>
                <w:rFonts w:eastAsia="Times New Roman" w:cs="Arial"/>
                <w:b/>
                <w:color w:val="000000"/>
                <w:sz w:val="20"/>
                <w:szCs w:val="20"/>
                <w:lang w:val="fr-FR"/>
              </w:rPr>
            </w:pPr>
            <w:r>
              <w:rPr>
                <w:rFonts w:eastAsia="Times New Roman" w:cs="Arial"/>
                <w:b/>
                <w:bCs/>
                <w:color w:val="000000"/>
                <w:sz w:val="20"/>
                <w:szCs w:val="20"/>
                <w:lang w:val="fr-FR"/>
              </w:rPr>
              <w:t>Type de partie</w:t>
            </w:r>
            <w:r w:rsidR="00C03782">
              <w:rPr>
                <w:rFonts w:eastAsia="Times New Roman" w:cs="Arial"/>
                <w:b/>
                <w:bCs/>
                <w:color w:val="000000"/>
                <w:sz w:val="20"/>
                <w:szCs w:val="20"/>
                <w:lang w:val="fr-FR"/>
              </w:rPr>
              <w:t>s</w:t>
            </w:r>
            <w:r>
              <w:rPr>
                <w:rFonts w:eastAsia="Times New Roman" w:cs="Arial"/>
                <w:b/>
                <w:bCs/>
                <w:color w:val="000000"/>
                <w:sz w:val="20"/>
                <w:szCs w:val="20"/>
                <w:lang w:val="fr-FR"/>
              </w:rPr>
              <w:t xml:space="preserve"> prenante</w:t>
            </w:r>
            <w:r w:rsidR="00C03782">
              <w:rPr>
                <w:rFonts w:eastAsia="Times New Roman" w:cs="Arial"/>
                <w:b/>
                <w:bCs/>
                <w:color w:val="000000"/>
                <w:sz w:val="20"/>
                <w:szCs w:val="20"/>
                <w:lang w:val="fr-FR"/>
              </w:rPr>
              <w:t>s</w:t>
            </w:r>
            <w:r>
              <w:rPr>
                <w:rFonts w:eastAsia="Times New Roman" w:cs="Arial"/>
                <w:b/>
                <w:bCs/>
                <w:color w:val="000000"/>
                <w:sz w:val="20"/>
                <w:szCs w:val="20"/>
                <w:lang w:val="fr-FR"/>
              </w:rPr>
              <w:t xml:space="preserve"> approchée</w:t>
            </w:r>
            <w:r w:rsidR="00C03782">
              <w:rPr>
                <w:rFonts w:eastAsia="Times New Roman" w:cs="Arial"/>
                <w:b/>
                <w:bCs/>
                <w:color w:val="000000"/>
                <w:sz w:val="20"/>
                <w:szCs w:val="20"/>
                <w:lang w:val="fr-FR"/>
              </w:rPr>
              <w:t>s</w:t>
            </w:r>
          </w:p>
        </w:tc>
        <w:tc>
          <w:tcPr>
            <w:tcW w:w="2847" w:type="pct"/>
            <w:shd w:val="clear" w:color="000000" w:fill="FFFFFF"/>
            <w:vAlign w:val="bottom"/>
          </w:tcPr>
          <w:p w14:paraId="7F9982DA" w14:textId="3CB91C65" w:rsidR="001A3B0A" w:rsidRPr="001A3B0A" w:rsidRDefault="005A3086" w:rsidP="00EF2807">
            <w:pPr>
              <w:spacing w:after="0" w:line="240" w:lineRule="auto"/>
              <w:rPr>
                <w:rFonts w:eastAsia="Times New Roman" w:cs="Arial"/>
                <w:b/>
                <w:color w:val="000000"/>
                <w:sz w:val="20"/>
                <w:szCs w:val="20"/>
              </w:rPr>
            </w:pPr>
            <w:r>
              <w:rPr>
                <w:rFonts w:eastAsia="Times New Roman" w:cs="Arial"/>
                <w:b/>
                <w:bCs/>
                <w:color w:val="000000"/>
                <w:sz w:val="20"/>
                <w:szCs w:val="20"/>
                <w:lang w:val="fr-FR"/>
              </w:rPr>
              <w:t>Ventilation : Sexe, emplacement, type</w:t>
            </w:r>
          </w:p>
        </w:tc>
      </w:tr>
      <w:tr w:rsidR="002C3674" w:rsidRPr="00880085" w14:paraId="6BF0DC78" w14:textId="77777777" w:rsidTr="00AF221E">
        <w:trPr>
          <w:trHeight w:val="375"/>
        </w:trPr>
        <w:tc>
          <w:tcPr>
            <w:tcW w:w="2153" w:type="pct"/>
            <w:shd w:val="clear" w:color="000000" w:fill="FFFFFF"/>
          </w:tcPr>
          <w:p w14:paraId="6F225A93" w14:textId="453B16FE" w:rsidR="002C3674" w:rsidRPr="00BD3D80" w:rsidRDefault="002C3674" w:rsidP="002C3674">
            <w:pPr>
              <w:spacing w:after="0" w:line="240" w:lineRule="auto"/>
              <w:rPr>
                <w:rFonts w:eastAsia="Times New Roman" w:cs="Arial"/>
                <w:b/>
                <w:color w:val="000000"/>
                <w:sz w:val="20"/>
                <w:szCs w:val="20"/>
                <w:lang w:val="fr-FR"/>
              </w:rPr>
            </w:pPr>
            <w:r>
              <w:rPr>
                <w:rFonts w:eastAsia="Times New Roman" w:cs="Arial"/>
                <w:b/>
                <w:bCs/>
                <w:color w:val="000000"/>
                <w:sz w:val="20"/>
                <w:szCs w:val="20"/>
                <w:lang w:val="fr-FR"/>
              </w:rPr>
              <w:t xml:space="preserve">Population (bénéficiaires) </w:t>
            </w:r>
            <w:r w:rsidR="00C03782">
              <w:rPr>
                <w:rFonts w:eastAsia="Times New Roman" w:cs="Arial"/>
                <w:b/>
                <w:bCs/>
                <w:color w:val="000000"/>
                <w:sz w:val="20"/>
                <w:szCs w:val="20"/>
                <w:lang w:val="fr-FR"/>
              </w:rPr>
              <w:t>aidée</w:t>
            </w:r>
            <w:r>
              <w:rPr>
                <w:rFonts w:eastAsia="Times New Roman" w:cs="Arial"/>
                <w:b/>
                <w:bCs/>
                <w:color w:val="000000"/>
                <w:sz w:val="20"/>
                <w:szCs w:val="20"/>
                <w:lang w:val="fr-FR"/>
              </w:rPr>
              <w:t xml:space="preserve"> </w:t>
            </w:r>
            <w:r>
              <w:rPr>
                <w:rFonts w:eastAsia="Times New Roman" w:cs="Arial"/>
                <w:i/>
                <w:iCs/>
                <w:color w:val="000000"/>
                <w:sz w:val="20"/>
                <w:szCs w:val="20"/>
                <w:lang w:val="fr-FR"/>
              </w:rPr>
              <w:t>(par le biais de campagnes, de mobilisation sociale, de plaidoyer, de renforcement des capacités, de sensibilisation)</w:t>
            </w:r>
          </w:p>
        </w:tc>
        <w:tc>
          <w:tcPr>
            <w:tcW w:w="2847" w:type="pct"/>
            <w:shd w:val="clear" w:color="000000" w:fill="FFFFFF"/>
            <w:vAlign w:val="bottom"/>
          </w:tcPr>
          <w:p w14:paraId="13F9A9B9" w14:textId="6AE9C3C1" w:rsidR="002C3674" w:rsidRPr="00BD3D80" w:rsidRDefault="002C3674" w:rsidP="002C3674">
            <w:pPr>
              <w:spacing w:after="0" w:line="240" w:lineRule="auto"/>
              <w:rPr>
                <w:rFonts w:eastAsia="Times New Roman" w:cs="Arial"/>
                <w:color w:val="000000"/>
                <w:sz w:val="20"/>
                <w:szCs w:val="20"/>
                <w:lang w:val="fr-FR"/>
              </w:rPr>
            </w:pPr>
            <w:r>
              <w:rPr>
                <w:rFonts w:eastAsia="Times New Roman" w:cs="Arial"/>
                <w:color w:val="000000"/>
                <w:sz w:val="20"/>
                <w:szCs w:val="20"/>
                <w:lang w:val="fr-FR"/>
              </w:rPr>
              <w:t>Nombre d</w:t>
            </w:r>
            <w:r w:rsidR="002C54BD">
              <w:rPr>
                <w:rFonts w:eastAsia="Times New Roman" w:cs="Arial"/>
                <w:color w:val="000000"/>
                <w:sz w:val="20"/>
                <w:szCs w:val="20"/>
                <w:lang w:val="fr-FR"/>
              </w:rPr>
              <w:t>’</w:t>
            </w:r>
            <w:r>
              <w:rPr>
                <w:rFonts w:eastAsia="Times New Roman" w:cs="Arial"/>
                <w:color w:val="000000"/>
                <w:sz w:val="20"/>
                <w:szCs w:val="20"/>
                <w:lang w:val="fr-FR"/>
              </w:rPr>
              <w:t>individus ventilés par sexe. Indiquez le nombre d</w:t>
            </w:r>
            <w:r w:rsidR="002C54BD">
              <w:rPr>
                <w:rFonts w:eastAsia="Times New Roman" w:cs="Arial"/>
                <w:color w:val="000000"/>
                <w:sz w:val="20"/>
                <w:szCs w:val="20"/>
                <w:lang w:val="fr-FR"/>
              </w:rPr>
              <w:t>’</w:t>
            </w:r>
            <w:r>
              <w:rPr>
                <w:rFonts w:eastAsia="Times New Roman" w:cs="Arial"/>
                <w:color w:val="000000"/>
                <w:sz w:val="20"/>
                <w:szCs w:val="20"/>
                <w:lang w:val="fr-FR"/>
              </w:rPr>
              <w:t>hommes, de femmes, de jeunes hommes, de jeunes femmes, d</w:t>
            </w:r>
            <w:r w:rsidR="002C54BD">
              <w:rPr>
                <w:rFonts w:eastAsia="Times New Roman" w:cs="Arial"/>
                <w:color w:val="000000"/>
                <w:sz w:val="20"/>
                <w:szCs w:val="20"/>
                <w:lang w:val="fr-FR"/>
              </w:rPr>
              <w:t>’</w:t>
            </w:r>
            <w:r>
              <w:rPr>
                <w:rFonts w:eastAsia="Times New Roman" w:cs="Arial"/>
                <w:color w:val="000000"/>
                <w:sz w:val="20"/>
                <w:szCs w:val="20"/>
                <w:lang w:val="fr-FR"/>
              </w:rPr>
              <w:t xml:space="preserve">hommes vulnérables, de femmes vulnérables, de jeunes femmes vulnérables, de jeunes hommes vulnérables </w:t>
            </w:r>
          </w:p>
        </w:tc>
      </w:tr>
      <w:tr w:rsidR="002C3674" w:rsidRPr="00880085" w14:paraId="7E6C7DCA" w14:textId="77777777" w:rsidTr="00AF221E">
        <w:trPr>
          <w:trHeight w:val="375"/>
        </w:trPr>
        <w:tc>
          <w:tcPr>
            <w:tcW w:w="2153" w:type="pct"/>
            <w:shd w:val="clear" w:color="000000" w:fill="FFFFFF"/>
          </w:tcPr>
          <w:p w14:paraId="41C7AC22" w14:textId="08641A5A" w:rsidR="002C3674" w:rsidRPr="00BD3D80" w:rsidRDefault="002C3674" w:rsidP="002C3674">
            <w:pPr>
              <w:spacing w:after="0" w:line="240" w:lineRule="auto"/>
              <w:rPr>
                <w:rFonts w:eastAsia="Times New Roman" w:cs="Arial"/>
                <w:b/>
                <w:color w:val="000000"/>
                <w:sz w:val="20"/>
                <w:szCs w:val="20"/>
                <w:lang w:val="fr-FR"/>
              </w:rPr>
            </w:pPr>
            <w:r>
              <w:rPr>
                <w:rFonts w:eastAsia="Times New Roman" w:cs="Arial"/>
                <w:b/>
                <w:bCs/>
                <w:color w:val="000000"/>
                <w:sz w:val="20"/>
                <w:szCs w:val="20"/>
                <w:lang w:val="fr-FR"/>
              </w:rPr>
              <w:t xml:space="preserve">Parties prenantes approchées </w:t>
            </w:r>
            <w:r>
              <w:rPr>
                <w:rFonts w:eastAsia="Times New Roman" w:cs="Arial"/>
                <w:i/>
                <w:iCs/>
                <w:color w:val="000000"/>
                <w:sz w:val="20"/>
                <w:szCs w:val="20"/>
                <w:lang w:val="fr-FR"/>
              </w:rPr>
              <w:t xml:space="preserve">(par le biais de consultations </w:t>
            </w:r>
            <w:r w:rsidR="00C03782">
              <w:rPr>
                <w:rFonts w:eastAsia="Times New Roman" w:cs="Arial"/>
                <w:i/>
                <w:iCs/>
                <w:color w:val="000000"/>
                <w:sz w:val="20"/>
                <w:szCs w:val="20"/>
                <w:lang w:val="fr-FR"/>
              </w:rPr>
              <w:t xml:space="preserve">de plateformes </w:t>
            </w:r>
            <w:proofErr w:type="spellStart"/>
            <w:r>
              <w:rPr>
                <w:rFonts w:eastAsia="Times New Roman" w:cs="Arial"/>
                <w:i/>
                <w:iCs/>
                <w:color w:val="000000"/>
                <w:sz w:val="20"/>
                <w:szCs w:val="20"/>
                <w:lang w:val="fr-FR"/>
              </w:rPr>
              <w:t>multiacteurs</w:t>
            </w:r>
            <w:proofErr w:type="spellEnd"/>
            <w:r>
              <w:rPr>
                <w:rFonts w:eastAsia="Times New Roman" w:cs="Arial"/>
                <w:i/>
                <w:iCs/>
                <w:color w:val="000000"/>
                <w:sz w:val="20"/>
                <w:szCs w:val="20"/>
                <w:lang w:val="fr-FR"/>
              </w:rPr>
              <w:t>, d</w:t>
            </w:r>
            <w:r w:rsidR="002C54BD">
              <w:rPr>
                <w:rFonts w:eastAsia="Times New Roman" w:cs="Arial"/>
                <w:i/>
                <w:iCs/>
                <w:color w:val="000000"/>
                <w:sz w:val="20"/>
                <w:szCs w:val="20"/>
                <w:lang w:val="fr-FR"/>
              </w:rPr>
              <w:t>’</w:t>
            </w:r>
            <w:r>
              <w:rPr>
                <w:rFonts w:eastAsia="Times New Roman" w:cs="Arial"/>
                <w:i/>
                <w:iCs/>
                <w:color w:val="000000"/>
                <w:sz w:val="20"/>
                <w:szCs w:val="20"/>
                <w:lang w:val="fr-FR"/>
              </w:rPr>
              <w:t>examen de politiques et d</w:t>
            </w:r>
            <w:r w:rsidR="002C54BD">
              <w:rPr>
                <w:rFonts w:eastAsia="Times New Roman" w:cs="Arial"/>
                <w:i/>
                <w:iCs/>
                <w:color w:val="000000"/>
                <w:sz w:val="20"/>
                <w:szCs w:val="20"/>
                <w:lang w:val="fr-FR"/>
              </w:rPr>
              <w:t>’</w:t>
            </w:r>
            <w:r>
              <w:rPr>
                <w:rFonts w:eastAsia="Times New Roman" w:cs="Arial"/>
                <w:i/>
                <w:iCs/>
                <w:color w:val="000000"/>
                <w:sz w:val="20"/>
                <w:szCs w:val="20"/>
                <w:lang w:val="fr-FR"/>
              </w:rPr>
              <w:t>influence)</w:t>
            </w:r>
            <w:r>
              <w:rPr>
                <w:rFonts w:eastAsia="Times New Roman" w:cs="Arial"/>
                <w:b/>
                <w:bCs/>
                <w:color w:val="000000"/>
                <w:sz w:val="20"/>
                <w:szCs w:val="20"/>
                <w:lang w:val="fr-FR"/>
              </w:rPr>
              <w:t xml:space="preserve"> </w:t>
            </w:r>
          </w:p>
        </w:tc>
        <w:tc>
          <w:tcPr>
            <w:tcW w:w="2847" w:type="pct"/>
            <w:shd w:val="clear" w:color="000000" w:fill="FFFFFF"/>
            <w:vAlign w:val="bottom"/>
          </w:tcPr>
          <w:p w14:paraId="0F4821CA" w14:textId="5724E6BF" w:rsidR="005A3086" w:rsidRPr="00BD3D80" w:rsidRDefault="00347DFD" w:rsidP="002C3674">
            <w:pPr>
              <w:spacing w:after="0" w:line="240" w:lineRule="auto"/>
              <w:rPr>
                <w:rFonts w:eastAsia="Times New Roman" w:cs="Arial"/>
                <w:color w:val="000000"/>
                <w:sz w:val="20"/>
                <w:szCs w:val="20"/>
                <w:lang w:val="fr-FR"/>
              </w:rPr>
            </w:pPr>
            <w:r>
              <w:rPr>
                <w:rFonts w:eastAsia="Times New Roman" w:cs="Arial"/>
                <w:color w:val="000000"/>
                <w:sz w:val="20"/>
                <w:szCs w:val="20"/>
                <w:lang w:val="fr-FR"/>
              </w:rPr>
              <w:t>Nombre de types de parties prenantes ventilé</w:t>
            </w:r>
            <w:r w:rsidR="00983D1F">
              <w:rPr>
                <w:rFonts w:eastAsia="Times New Roman" w:cs="Arial"/>
                <w:color w:val="000000"/>
                <w:sz w:val="20"/>
                <w:szCs w:val="20"/>
                <w:lang w:val="fr-FR"/>
              </w:rPr>
              <w:t>e</w:t>
            </w:r>
            <w:r>
              <w:rPr>
                <w:rFonts w:eastAsia="Times New Roman" w:cs="Arial"/>
                <w:color w:val="000000"/>
                <w:sz w:val="20"/>
                <w:szCs w:val="20"/>
                <w:lang w:val="fr-FR"/>
              </w:rPr>
              <w:t>s par sexe et s</w:t>
            </w:r>
            <w:r w:rsidR="002C54BD">
              <w:rPr>
                <w:rFonts w:eastAsia="Times New Roman" w:cs="Arial"/>
                <w:color w:val="000000"/>
                <w:sz w:val="20"/>
                <w:szCs w:val="20"/>
                <w:lang w:val="fr-FR"/>
              </w:rPr>
              <w:t>’</w:t>
            </w:r>
            <w:r>
              <w:rPr>
                <w:rFonts w:eastAsia="Times New Roman" w:cs="Arial"/>
                <w:color w:val="000000"/>
                <w:sz w:val="20"/>
                <w:szCs w:val="20"/>
                <w:lang w:val="fr-FR"/>
              </w:rPr>
              <w:t>il s</w:t>
            </w:r>
            <w:r w:rsidR="002C54BD">
              <w:rPr>
                <w:rFonts w:eastAsia="Times New Roman" w:cs="Arial"/>
                <w:color w:val="000000"/>
                <w:sz w:val="20"/>
                <w:szCs w:val="20"/>
                <w:lang w:val="fr-FR"/>
              </w:rPr>
              <w:t>’</w:t>
            </w:r>
            <w:r>
              <w:rPr>
                <w:rFonts w:eastAsia="Times New Roman" w:cs="Arial"/>
                <w:color w:val="000000"/>
                <w:sz w:val="20"/>
                <w:szCs w:val="20"/>
                <w:lang w:val="fr-FR"/>
              </w:rPr>
              <w:t>agit d</w:t>
            </w:r>
            <w:r w:rsidR="002C54BD">
              <w:rPr>
                <w:rFonts w:eastAsia="Times New Roman" w:cs="Arial"/>
                <w:color w:val="000000"/>
                <w:sz w:val="20"/>
                <w:szCs w:val="20"/>
                <w:lang w:val="fr-FR"/>
              </w:rPr>
              <w:t>’</w:t>
            </w:r>
            <w:r>
              <w:rPr>
                <w:rFonts w:eastAsia="Times New Roman" w:cs="Arial"/>
                <w:color w:val="000000"/>
                <w:sz w:val="20"/>
                <w:szCs w:val="20"/>
                <w:lang w:val="fr-FR"/>
              </w:rPr>
              <w:t>une représentation mondiale, régionale, nationale ou infranationale</w:t>
            </w:r>
            <w:r w:rsidR="00C03782">
              <w:rPr>
                <w:rFonts w:eastAsia="Times New Roman" w:cs="Arial"/>
                <w:color w:val="000000"/>
                <w:sz w:val="20"/>
                <w:szCs w:val="20"/>
                <w:lang w:val="fr-FR"/>
              </w:rPr>
              <w:t>.</w:t>
            </w:r>
            <w:r>
              <w:rPr>
                <w:rFonts w:eastAsia="Times New Roman" w:cs="Arial"/>
                <w:color w:val="000000"/>
                <w:sz w:val="20"/>
                <w:szCs w:val="20"/>
                <w:lang w:val="fr-FR"/>
              </w:rPr>
              <w:t xml:space="preserve"> Indiquer : </w:t>
            </w:r>
            <w:r w:rsidR="00B96097">
              <w:rPr>
                <w:rFonts w:eastAsia="Times New Roman" w:cs="Arial"/>
                <w:color w:val="000000"/>
                <w:sz w:val="20"/>
                <w:szCs w:val="20"/>
                <w:lang w:val="fr-FR"/>
              </w:rPr>
              <w:t>l</w:t>
            </w:r>
            <w:r>
              <w:rPr>
                <w:rFonts w:eastAsia="Times New Roman" w:cs="Arial"/>
                <w:color w:val="000000"/>
                <w:sz w:val="20"/>
                <w:szCs w:val="20"/>
                <w:lang w:val="fr-FR"/>
              </w:rPr>
              <w:t>e nombre de parties prenantes ventilé</w:t>
            </w:r>
            <w:r w:rsidR="00C03782">
              <w:rPr>
                <w:rFonts w:eastAsia="Times New Roman" w:cs="Arial"/>
                <w:color w:val="000000"/>
                <w:sz w:val="20"/>
                <w:szCs w:val="20"/>
                <w:lang w:val="fr-FR"/>
              </w:rPr>
              <w:t>es</w:t>
            </w:r>
            <w:r>
              <w:rPr>
                <w:rFonts w:eastAsia="Times New Roman" w:cs="Arial"/>
                <w:color w:val="000000"/>
                <w:sz w:val="20"/>
                <w:szCs w:val="20"/>
                <w:lang w:val="fr-FR"/>
              </w:rPr>
              <w:t xml:space="preserve"> par H/F/Jeune H/Jeune F :</w:t>
            </w:r>
          </w:p>
          <w:p w14:paraId="24236F2B" w14:textId="3E707A88" w:rsidR="002C3674" w:rsidRPr="00BD3D80" w:rsidRDefault="005A3086" w:rsidP="002C3674">
            <w:pPr>
              <w:spacing w:after="0" w:line="240" w:lineRule="auto"/>
              <w:rPr>
                <w:rFonts w:eastAsia="Times New Roman" w:cs="Arial"/>
                <w:color w:val="000000"/>
                <w:sz w:val="20"/>
                <w:szCs w:val="20"/>
                <w:lang w:val="fr-FR"/>
              </w:rPr>
            </w:pPr>
            <w:r>
              <w:rPr>
                <w:rFonts w:eastAsia="Times New Roman" w:cs="Arial"/>
                <w:color w:val="000000"/>
                <w:sz w:val="20"/>
                <w:szCs w:val="20"/>
                <w:lang w:val="fr-FR"/>
              </w:rPr>
              <w:t>Universités</w:t>
            </w:r>
            <w:r w:rsidR="002C54BD">
              <w:rPr>
                <w:rFonts w:eastAsia="Times New Roman" w:cs="Arial"/>
                <w:color w:val="000000"/>
                <w:sz w:val="20"/>
                <w:szCs w:val="20"/>
                <w:lang w:val="fr-FR"/>
              </w:rPr>
              <w:t> </w:t>
            </w:r>
            <w:r>
              <w:rPr>
                <w:rFonts w:eastAsia="Times New Roman" w:cs="Arial"/>
                <w:color w:val="000000"/>
                <w:sz w:val="20"/>
                <w:szCs w:val="20"/>
                <w:lang w:val="fr-FR"/>
              </w:rPr>
              <w:t>; ONU</w:t>
            </w:r>
            <w:r w:rsidR="002C54BD">
              <w:rPr>
                <w:rFonts w:eastAsia="Times New Roman" w:cs="Arial"/>
                <w:color w:val="000000"/>
                <w:sz w:val="20"/>
                <w:szCs w:val="20"/>
                <w:lang w:val="fr-FR"/>
              </w:rPr>
              <w:t> </w:t>
            </w:r>
            <w:r>
              <w:rPr>
                <w:rFonts w:eastAsia="Times New Roman" w:cs="Arial"/>
                <w:color w:val="000000"/>
                <w:sz w:val="20"/>
                <w:szCs w:val="20"/>
                <w:lang w:val="fr-FR"/>
              </w:rPr>
              <w:t>; secteur privé</w:t>
            </w:r>
            <w:r w:rsidR="002C54BD">
              <w:rPr>
                <w:rFonts w:eastAsia="Times New Roman" w:cs="Arial"/>
                <w:color w:val="000000"/>
                <w:sz w:val="20"/>
                <w:szCs w:val="20"/>
                <w:lang w:val="fr-FR"/>
              </w:rPr>
              <w:t> </w:t>
            </w:r>
            <w:r>
              <w:rPr>
                <w:rFonts w:eastAsia="Times New Roman" w:cs="Arial"/>
                <w:color w:val="000000"/>
                <w:sz w:val="20"/>
                <w:szCs w:val="20"/>
                <w:lang w:val="fr-FR"/>
              </w:rPr>
              <w:t>; médias</w:t>
            </w:r>
            <w:r w:rsidR="002C54BD">
              <w:rPr>
                <w:rFonts w:eastAsia="Times New Roman" w:cs="Arial"/>
                <w:color w:val="000000"/>
                <w:sz w:val="20"/>
                <w:szCs w:val="20"/>
                <w:lang w:val="fr-FR"/>
              </w:rPr>
              <w:t> </w:t>
            </w:r>
            <w:r>
              <w:rPr>
                <w:rFonts w:eastAsia="Times New Roman" w:cs="Arial"/>
                <w:color w:val="000000"/>
                <w:sz w:val="20"/>
                <w:szCs w:val="20"/>
                <w:lang w:val="fr-FR"/>
              </w:rPr>
              <w:t>; OSC</w:t>
            </w:r>
            <w:r w:rsidR="002C54BD">
              <w:rPr>
                <w:rFonts w:eastAsia="Times New Roman" w:cs="Arial"/>
                <w:color w:val="000000"/>
                <w:sz w:val="20"/>
                <w:szCs w:val="20"/>
                <w:lang w:val="fr-FR"/>
              </w:rPr>
              <w:t> </w:t>
            </w:r>
            <w:r>
              <w:rPr>
                <w:rFonts w:eastAsia="Times New Roman" w:cs="Arial"/>
                <w:color w:val="000000"/>
                <w:sz w:val="20"/>
                <w:szCs w:val="20"/>
                <w:lang w:val="fr-FR"/>
              </w:rPr>
              <w:t>; gouvernement</w:t>
            </w:r>
            <w:r w:rsidR="002C54BD">
              <w:rPr>
                <w:rFonts w:eastAsia="Times New Roman" w:cs="Arial"/>
                <w:color w:val="000000"/>
                <w:sz w:val="20"/>
                <w:szCs w:val="20"/>
                <w:lang w:val="fr-FR"/>
              </w:rPr>
              <w:t> </w:t>
            </w:r>
            <w:r>
              <w:rPr>
                <w:rFonts w:eastAsia="Times New Roman" w:cs="Arial"/>
                <w:color w:val="000000"/>
                <w:sz w:val="20"/>
                <w:szCs w:val="20"/>
                <w:lang w:val="fr-FR"/>
              </w:rPr>
              <w:t>; religieux</w:t>
            </w:r>
            <w:r w:rsidR="002C54BD">
              <w:rPr>
                <w:rFonts w:eastAsia="Times New Roman" w:cs="Arial"/>
                <w:color w:val="000000"/>
                <w:sz w:val="20"/>
                <w:szCs w:val="20"/>
                <w:lang w:val="fr-FR"/>
              </w:rPr>
              <w:t> </w:t>
            </w:r>
            <w:r>
              <w:rPr>
                <w:rFonts w:eastAsia="Times New Roman" w:cs="Arial"/>
                <w:color w:val="000000"/>
                <w:sz w:val="20"/>
                <w:szCs w:val="20"/>
                <w:lang w:val="fr-FR"/>
              </w:rPr>
              <w:t xml:space="preserve">; autres </w:t>
            </w:r>
          </w:p>
        </w:tc>
      </w:tr>
      <w:tr w:rsidR="002C3674" w:rsidRPr="00880085" w14:paraId="11D94577" w14:textId="77777777" w:rsidTr="00AF221E">
        <w:trPr>
          <w:trHeight w:val="645"/>
        </w:trPr>
        <w:tc>
          <w:tcPr>
            <w:tcW w:w="2153" w:type="pct"/>
            <w:shd w:val="clear" w:color="000000" w:fill="FFFFFF"/>
          </w:tcPr>
          <w:p w14:paraId="37212DF0" w14:textId="5B9DF129" w:rsidR="002C3674" w:rsidRPr="00BD3D80" w:rsidRDefault="002C3674" w:rsidP="002C3674">
            <w:pPr>
              <w:spacing w:after="0" w:line="240" w:lineRule="auto"/>
              <w:rPr>
                <w:rFonts w:eastAsia="Times New Roman" w:cs="Arial"/>
                <w:b/>
                <w:color w:val="000000"/>
                <w:sz w:val="20"/>
                <w:szCs w:val="20"/>
                <w:lang w:val="fr-FR"/>
              </w:rPr>
            </w:pPr>
            <w:r>
              <w:rPr>
                <w:rFonts w:eastAsia="Times New Roman" w:cs="Arial"/>
                <w:b/>
                <w:bCs/>
                <w:color w:val="000000"/>
                <w:sz w:val="20"/>
                <w:szCs w:val="20"/>
                <w:lang w:val="fr-FR"/>
              </w:rPr>
              <w:t xml:space="preserve">Société civile aidée </w:t>
            </w:r>
            <w:r>
              <w:rPr>
                <w:rFonts w:eastAsia="Times New Roman" w:cs="Arial"/>
                <w:i/>
                <w:iCs/>
                <w:color w:val="000000"/>
                <w:sz w:val="20"/>
                <w:szCs w:val="20"/>
                <w:lang w:val="fr-FR"/>
              </w:rPr>
              <w:t>(renforcement des capacités, coordination, consultations, campagne, assistance technique et autres)</w:t>
            </w:r>
          </w:p>
        </w:tc>
        <w:tc>
          <w:tcPr>
            <w:tcW w:w="2847" w:type="pct"/>
            <w:shd w:val="clear" w:color="000000" w:fill="FFFFFF"/>
            <w:vAlign w:val="bottom"/>
            <w:hideMark/>
          </w:tcPr>
          <w:p w14:paraId="0EEC1473" w14:textId="1AD0469C" w:rsidR="002C3674" w:rsidRPr="00BD3D80" w:rsidRDefault="00347DFD" w:rsidP="002C3674">
            <w:pPr>
              <w:spacing w:after="0" w:line="240" w:lineRule="auto"/>
              <w:rPr>
                <w:rFonts w:eastAsia="Times New Roman" w:cs="Arial"/>
                <w:color w:val="000000"/>
                <w:sz w:val="20"/>
                <w:szCs w:val="20"/>
                <w:lang w:val="fr-FR"/>
              </w:rPr>
            </w:pPr>
            <w:r>
              <w:rPr>
                <w:rFonts w:eastAsia="Times New Roman" w:cs="Arial"/>
                <w:color w:val="000000"/>
                <w:sz w:val="20"/>
                <w:szCs w:val="20"/>
                <w:lang w:val="fr-FR"/>
              </w:rPr>
              <w:t>Nombre</w:t>
            </w:r>
            <w:r w:rsidR="00AD4300">
              <w:rPr>
                <w:rFonts w:eastAsia="Times New Roman" w:cs="Arial"/>
                <w:color w:val="000000"/>
                <w:sz w:val="20"/>
                <w:szCs w:val="20"/>
                <w:lang w:val="fr-FR"/>
              </w:rPr>
              <w:t xml:space="preserve"> d’individus</w:t>
            </w:r>
            <w:r>
              <w:rPr>
                <w:rFonts w:eastAsia="Times New Roman" w:cs="Arial"/>
                <w:color w:val="000000"/>
                <w:sz w:val="20"/>
                <w:szCs w:val="20"/>
                <w:lang w:val="fr-FR"/>
              </w:rPr>
              <w:t xml:space="preserve"> d</w:t>
            </w:r>
            <w:r w:rsidR="002C54BD">
              <w:rPr>
                <w:rFonts w:eastAsia="Times New Roman" w:cs="Arial"/>
                <w:color w:val="000000"/>
                <w:sz w:val="20"/>
                <w:szCs w:val="20"/>
                <w:lang w:val="fr-FR"/>
              </w:rPr>
              <w:t>’</w:t>
            </w:r>
            <w:r w:rsidR="00C03782">
              <w:rPr>
                <w:rFonts w:eastAsia="Times New Roman" w:cs="Arial"/>
                <w:color w:val="000000"/>
                <w:sz w:val="20"/>
                <w:szCs w:val="20"/>
                <w:lang w:val="fr-FR"/>
              </w:rPr>
              <w:t>A</w:t>
            </w:r>
            <w:r>
              <w:rPr>
                <w:rFonts w:eastAsia="Times New Roman" w:cs="Arial"/>
                <w:color w:val="000000"/>
                <w:sz w:val="20"/>
                <w:szCs w:val="20"/>
                <w:lang w:val="fr-FR"/>
              </w:rPr>
              <w:t>lliances de la société civile/de réseaux de la société civile, ayant bénéficié d</w:t>
            </w:r>
            <w:r w:rsidR="002C54BD">
              <w:rPr>
                <w:rFonts w:eastAsia="Times New Roman" w:cs="Arial"/>
                <w:color w:val="000000"/>
                <w:sz w:val="20"/>
                <w:szCs w:val="20"/>
                <w:lang w:val="fr-FR"/>
              </w:rPr>
              <w:t>’</w:t>
            </w:r>
            <w:r>
              <w:rPr>
                <w:rFonts w:eastAsia="Times New Roman" w:cs="Arial"/>
                <w:color w:val="000000"/>
                <w:sz w:val="20"/>
                <w:szCs w:val="20"/>
                <w:lang w:val="fr-FR"/>
              </w:rPr>
              <w:t xml:space="preserve">événements mondiaux, régionaux, nationaux, </w:t>
            </w:r>
            <w:r w:rsidR="00C03782">
              <w:rPr>
                <w:rFonts w:eastAsia="Times New Roman" w:cs="Arial"/>
                <w:color w:val="000000"/>
                <w:sz w:val="20"/>
                <w:szCs w:val="20"/>
                <w:lang w:val="fr-FR"/>
              </w:rPr>
              <w:t>infra</w:t>
            </w:r>
            <w:r>
              <w:rPr>
                <w:rFonts w:eastAsia="Times New Roman" w:cs="Arial"/>
                <w:color w:val="000000"/>
                <w:sz w:val="20"/>
                <w:szCs w:val="20"/>
                <w:lang w:val="fr-FR"/>
              </w:rPr>
              <w:t>nationaux, de renforcements des capacités, de formations, d</w:t>
            </w:r>
            <w:r w:rsidR="002C54BD">
              <w:rPr>
                <w:rFonts w:eastAsia="Times New Roman" w:cs="Arial"/>
                <w:color w:val="000000"/>
                <w:sz w:val="20"/>
                <w:szCs w:val="20"/>
                <w:lang w:val="fr-FR"/>
              </w:rPr>
              <w:t>’</w:t>
            </w:r>
            <w:r>
              <w:rPr>
                <w:rFonts w:eastAsia="Times New Roman" w:cs="Arial"/>
                <w:color w:val="000000"/>
                <w:sz w:val="20"/>
                <w:szCs w:val="20"/>
                <w:lang w:val="fr-FR"/>
              </w:rPr>
              <w:t>assistance technique, ventilés par</w:t>
            </w:r>
            <w:r w:rsidR="002C54BD">
              <w:rPr>
                <w:rFonts w:eastAsia="Times New Roman" w:cs="Arial"/>
                <w:color w:val="000000"/>
                <w:sz w:val="20"/>
                <w:szCs w:val="20"/>
                <w:lang w:val="fr-FR"/>
              </w:rPr>
              <w:t> </w:t>
            </w:r>
            <w:r>
              <w:rPr>
                <w:rFonts w:eastAsia="Times New Roman" w:cs="Arial"/>
                <w:color w:val="000000"/>
                <w:sz w:val="20"/>
                <w:szCs w:val="20"/>
                <w:lang w:val="fr-FR"/>
              </w:rPr>
              <w:t>: sexe (H/F)</w:t>
            </w:r>
            <w:r w:rsidR="002C54BD">
              <w:rPr>
                <w:rFonts w:eastAsia="Times New Roman" w:cs="Arial"/>
                <w:color w:val="000000"/>
                <w:sz w:val="20"/>
                <w:szCs w:val="20"/>
                <w:lang w:val="fr-FR"/>
              </w:rPr>
              <w:t> </w:t>
            </w:r>
            <w:r>
              <w:rPr>
                <w:rFonts w:eastAsia="Times New Roman" w:cs="Arial"/>
                <w:color w:val="000000"/>
                <w:sz w:val="20"/>
                <w:szCs w:val="20"/>
                <w:lang w:val="fr-FR"/>
              </w:rPr>
              <w:t>; âge</w:t>
            </w:r>
            <w:r w:rsidR="002C54BD">
              <w:rPr>
                <w:rFonts w:eastAsia="Times New Roman" w:cs="Arial"/>
                <w:color w:val="000000"/>
                <w:sz w:val="20"/>
                <w:szCs w:val="20"/>
                <w:lang w:val="fr-FR"/>
              </w:rPr>
              <w:t> </w:t>
            </w:r>
            <w:r>
              <w:rPr>
                <w:rFonts w:eastAsia="Times New Roman" w:cs="Arial"/>
                <w:color w:val="000000"/>
                <w:sz w:val="20"/>
                <w:szCs w:val="20"/>
                <w:lang w:val="fr-FR"/>
              </w:rPr>
              <w:t>; infranational, national, régional, mondial</w:t>
            </w:r>
          </w:p>
        </w:tc>
      </w:tr>
    </w:tbl>
    <w:p w14:paraId="0192BC6F" w14:textId="125D4332" w:rsidR="00D03141" w:rsidRPr="00BD3D80" w:rsidRDefault="00D03141">
      <w:pPr>
        <w:rPr>
          <w:rFonts w:eastAsia="Times New Roman" w:cstheme="majorHAnsi"/>
          <w:b/>
          <w:bCs/>
          <w:color w:val="000000"/>
          <w:sz w:val="20"/>
          <w:szCs w:val="20"/>
          <w:lang w:val="fr-FR"/>
        </w:rPr>
      </w:pPr>
    </w:p>
    <w:p w14:paraId="6ADC7544" w14:textId="5727A408" w:rsidR="00347DFD" w:rsidRPr="00BD3D80" w:rsidRDefault="003D1EE0" w:rsidP="000759DD">
      <w:pPr>
        <w:rPr>
          <w:b/>
          <w:color w:val="FFC000" w:themeColor="accent4"/>
          <w:sz w:val="28"/>
          <w:szCs w:val="28"/>
          <w:lang w:val="fr-FR"/>
        </w:rPr>
      </w:pPr>
      <w:r>
        <w:rPr>
          <w:b/>
          <w:bCs/>
          <w:color w:val="FFC000" w:themeColor="accent4"/>
          <w:sz w:val="28"/>
          <w:szCs w:val="28"/>
          <w:lang w:val="fr-FR"/>
        </w:rPr>
        <w:t>Résultat</w:t>
      </w:r>
      <w:r w:rsidR="002C54BD">
        <w:rPr>
          <w:b/>
          <w:bCs/>
          <w:color w:val="FFC000" w:themeColor="accent4"/>
          <w:sz w:val="28"/>
          <w:szCs w:val="28"/>
          <w:lang w:val="fr-FR"/>
        </w:rPr>
        <w:t> </w:t>
      </w:r>
      <w:r>
        <w:rPr>
          <w:b/>
          <w:bCs/>
          <w:color w:val="FFC000" w:themeColor="accent4"/>
          <w:sz w:val="28"/>
          <w:szCs w:val="28"/>
          <w:lang w:val="fr-FR"/>
        </w:rPr>
        <w:t xml:space="preserve">1 – (Meilleure planification) Les pays SUN ont mis en place des </w:t>
      </w:r>
      <w:r w:rsidR="0029661A">
        <w:rPr>
          <w:b/>
          <w:bCs/>
          <w:color w:val="FFC000" w:themeColor="accent4"/>
          <w:sz w:val="28"/>
          <w:szCs w:val="28"/>
          <w:lang w:val="fr-FR"/>
        </w:rPr>
        <w:t>plans de nutrition</w:t>
      </w:r>
      <w:r>
        <w:rPr>
          <w:b/>
          <w:bCs/>
          <w:color w:val="FFC000" w:themeColor="accent4"/>
          <w:sz w:val="28"/>
          <w:szCs w:val="28"/>
          <w:lang w:val="fr-FR"/>
        </w:rPr>
        <w:t xml:space="preserve"> SMART, chiffrés, </w:t>
      </w:r>
      <w:proofErr w:type="spellStart"/>
      <w:r w:rsidR="00B96097">
        <w:rPr>
          <w:b/>
          <w:bCs/>
          <w:color w:val="FFC000" w:themeColor="accent4"/>
          <w:sz w:val="28"/>
          <w:szCs w:val="28"/>
          <w:lang w:val="fr-FR"/>
        </w:rPr>
        <w:t>multiacteurs</w:t>
      </w:r>
      <w:proofErr w:type="spellEnd"/>
      <w:r w:rsidR="00B96097">
        <w:rPr>
          <w:b/>
          <w:bCs/>
          <w:color w:val="FFC000" w:themeColor="accent4"/>
          <w:sz w:val="28"/>
          <w:szCs w:val="28"/>
          <w:lang w:val="fr-FR"/>
        </w:rPr>
        <w:t xml:space="preserve"> </w:t>
      </w:r>
      <w:r>
        <w:rPr>
          <w:b/>
          <w:bCs/>
          <w:color w:val="FFC000" w:themeColor="accent4"/>
          <w:sz w:val="28"/>
          <w:szCs w:val="28"/>
          <w:lang w:val="fr-FR"/>
        </w:rPr>
        <w:t xml:space="preserve">et </w:t>
      </w:r>
      <w:r w:rsidR="00B96097">
        <w:rPr>
          <w:b/>
          <w:bCs/>
          <w:color w:val="FFC000" w:themeColor="accent4"/>
          <w:sz w:val="28"/>
          <w:szCs w:val="28"/>
          <w:lang w:val="fr-FR"/>
        </w:rPr>
        <w:t>multisectoriels</w:t>
      </w:r>
      <w:r>
        <w:rPr>
          <w:b/>
          <w:bCs/>
          <w:color w:val="FFC000" w:themeColor="accent4"/>
          <w:sz w:val="28"/>
          <w:szCs w:val="28"/>
          <w:lang w:val="fr-FR"/>
        </w:rPr>
        <w:t xml:space="preserve">, y compris dans les pays lourdement touchés par la malnutrition et frappés par des conflits </w:t>
      </w:r>
    </w:p>
    <w:p w14:paraId="1E7A47E6" w14:textId="77777777" w:rsidR="003D1EE0" w:rsidRPr="00BD3D80" w:rsidRDefault="003D1EE0" w:rsidP="003D1EE0">
      <w:pPr>
        <w:rPr>
          <w:lang w:val="fr-FR"/>
        </w:rPr>
      </w:pPr>
    </w:p>
    <w:tbl>
      <w:tblPr>
        <w:tblStyle w:val="TableGrid"/>
        <w:tblW w:w="9209" w:type="dxa"/>
        <w:tblLook w:val="04A0" w:firstRow="1" w:lastRow="0" w:firstColumn="1" w:lastColumn="0" w:noHBand="0" w:noVBand="1"/>
      </w:tblPr>
      <w:tblGrid>
        <w:gridCol w:w="3964"/>
        <w:gridCol w:w="5245"/>
      </w:tblGrid>
      <w:tr w:rsidR="00CF72FE" w:rsidRPr="00880085" w14:paraId="3D64A543" w14:textId="77777777" w:rsidTr="00384938">
        <w:tc>
          <w:tcPr>
            <w:tcW w:w="3964" w:type="dxa"/>
            <w:shd w:val="clear" w:color="auto" w:fill="8EAADB" w:themeFill="accent1" w:themeFillTint="99"/>
          </w:tcPr>
          <w:p w14:paraId="716AA196" w14:textId="77777777" w:rsidR="003D1EE0" w:rsidRPr="00BD3D80" w:rsidRDefault="003D1EE0" w:rsidP="00CE0FBA">
            <w:pPr>
              <w:rPr>
                <w:sz w:val="20"/>
                <w:szCs w:val="20"/>
                <w:lang w:val="fr-FR"/>
              </w:rPr>
            </w:pPr>
          </w:p>
          <w:p w14:paraId="25253F21" w14:textId="16D1A7F0" w:rsidR="00CF72FE" w:rsidRPr="00EB67D8" w:rsidRDefault="00CF72FE" w:rsidP="00CE0FBA">
            <w:pPr>
              <w:rPr>
                <w:b/>
                <w:sz w:val="20"/>
                <w:szCs w:val="20"/>
              </w:rPr>
            </w:pPr>
            <w:r>
              <w:rPr>
                <w:b/>
                <w:bCs/>
                <w:sz w:val="20"/>
                <w:szCs w:val="20"/>
                <w:lang w:val="fr-FR"/>
              </w:rPr>
              <w:t>Résultat</w:t>
            </w:r>
            <w:r w:rsidR="002C54BD">
              <w:rPr>
                <w:b/>
                <w:bCs/>
                <w:sz w:val="20"/>
                <w:szCs w:val="20"/>
                <w:lang w:val="fr-FR"/>
              </w:rPr>
              <w:t> </w:t>
            </w:r>
            <w:r>
              <w:rPr>
                <w:b/>
                <w:bCs/>
                <w:sz w:val="20"/>
                <w:szCs w:val="20"/>
                <w:lang w:val="fr-FR"/>
              </w:rPr>
              <w:t>1 :</w:t>
            </w:r>
          </w:p>
        </w:tc>
        <w:tc>
          <w:tcPr>
            <w:tcW w:w="5245" w:type="dxa"/>
            <w:shd w:val="clear" w:color="auto" w:fill="8EAADB" w:themeFill="accent1" w:themeFillTint="99"/>
          </w:tcPr>
          <w:p w14:paraId="20F3A098" w14:textId="4F6AB08A" w:rsidR="00CF72FE" w:rsidRPr="00BD3D80" w:rsidRDefault="000948C1" w:rsidP="00CE0FBA">
            <w:pPr>
              <w:rPr>
                <w:b/>
                <w:sz w:val="20"/>
                <w:szCs w:val="20"/>
                <w:lang w:val="fr-FR"/>
              </w:rPr>
            </w:pPr>
            <w:r>
              <w:rPr>
                <w:b/>
                <w:bCs/>
                <w:sz w:val="20"/>
                <w:szCs w:val="20"/>
                <w:lang w:val="fr-FR"/>
              </w:rPr>
              <w:t>Indicateurs suggérés (lorsque plusieurs choix sont possibles, veuillez n</w:t>
            </w:r>
            <w:r w:rsidR="002C54BD">
              <w:rPr>
                <w:b/>
                <w:bCs/>
                <w:sz w:val="20"/>
                <w:szCs w:val="20"/>
                <w:lang w:val="fr-FR"/>
              </w:rPr>
              <w:t>’</w:t>
            </w:r>
            <w:r>
              <w:rPr>
                <w:b/>
                <w:bCs/>
                <w:sz w:val="20"/>
                <w:szCs w:val="20"/>
                <w:lang w:val="fr-FR"/>
              </w:rPr>
              <w:t>en sélectionner qu</w:t>
            </w:r>
            <w:r w:rsidR="002C54BD">
              <w:rPr>
                <w:b/>
                <w:bCs/>
                <w:sz w:val="20"/>
                <w:szCs w:val="20"/>
                <w:lang w:val="fr-FR"/>
              </w:rPr>
              <w:t>’</w:t>
            </w:r>
            <w:r>
              <w:rPr>
                <w:b/>
                <w:bCs/>
                <w:sz w:val="20"/>
                <w:szCs w:val="20"/>
                <w:lang w:val="fr-FR"/>
              </w:rPr>
              <w:t>un seul)</w:t>
            </w:r>
          </w:p>
        </w:tc>
      </w:tr>
      <w:tr w:rsidR="00CF72FE" w:rsidRPr="00880085" w14:paraId="3F8AD71F" w14:textId="77777777" w:rsidTr="00384938">
        <w:tc>
          <w:tcPr>
            <w:tcW w:w="3964" w:type="dxa"/>
          </w:tcPr>
          <w:p w14:paraId="5924BE1A" w14:textId="4545459B" w:rsidR="00CF72FE" w:rsidRPr="00BD3D80" w:rsidRDefault="00CF72FE" w:rsidP="00CE0FBA">
            <w:pPr>
              <w:rPr>
                <w:sz w:val="20"/>
                <w:szCs w:val="20"/>
                <w:lang w:val="fr-FR"/>
              </w:rPr>
            </w:pPr>
            <w:r>
              <w:rPr>
                <w:rFonts w:eastAsia="Times New Roman" w:cstheme="majorHAnsi"/>
                <w:sz w:val="20"/>
                <w:szCs w:val="20"/>
                <w:lang w:val="fr-FR"/>
              </w:rPr>
              <w:t xml:space="preserve">1) Les pays SUN ont mis en place des </w:t>
            </w:r>
            <w:r w:rsidR="0029661A">
              <w:rPr>
                <w:rFonts w:eastAsia="Times New Roman" w:cstheme="majorHAnsi"/>
                <w:sz w:val="20"/>
                <w:szCs w:val="20"/>
                <w:lang w:val="fr-FR"/>
              </w:rPr>
              <w:t>plans de nutrition</w:t>
            </w:r>
            <w:r>
              <w:rPr>
                <w:rFonts w:eastAsia="Times New Roman" w:cstheme="majorHAnsi"/>
                <w:sz w:val="20"/>
                <w:szCs w:val="20"/>
                <w:lang w:val="fr-FR"/>
              </w:rPr>
              <w:t xml:space="preserve"> SMART, chiffrés, </w:t>
            </w:r>
            <w:proofErr w:type="spellStart"/>
            <w:r w:rsidR="00D35BE8">
              <w:rPr>
                <w:rFonts w:eastAsia="Times New Roman" w:cstheme="majorHAnsi"/>
                <w:sz w:val="20"/>
                <w:szCs w:val="20"/>
                <w:lang w:val="fr-FR"/>
              </w:rPr>
              <w:t>multiacteurs</w:t>
            </w:r>
            <w:proofErr w:type="spellEnd"/>
            <w:r w:rsidR="00D35BE8">
              <w:rPr>
                <w:rFonts w:eastAsia="Times New Roman" w:cstheme="majorHAnsi"/>
                <w:sz w:val="20"/>
                <w:szCs w:val="20"/>
                <w:lang w:val="fr-FR"/>
              </w:rPr>
              <w:t xml:space="preserve"> </w:t>
            </w:r>
            <w:r>
              <w:rPr>
                <w:rFonts w:eastAsia="Times New Roman" w:cstheme="majorHAnsi"/>
                <w:sz w:val="20"/>
                <w:szCs w:val="20"/>
                <w:lang w:val="fr-FR"/>
              </w:rPr>
              <w:t xml:space="preserve">et </w:t>
            </w:r>
            <w:r w:rsidR="00B96097">
              <w:rPr>
                <w:rFonts w:eastAsia="Times New Roman" w:cstheme="majorHAnsi"/>
                <w:sz w:val="20"/>
                <w:szCs w:val="20"/>
                <w:lang w:val="fr-FR"/>
              </w:rPr>
              <w:t>multisectoriels</w:t>
            </w:r>
            <w:r>
              <w:rPr>
                <w:rFonts w:eastAsia="Times New Roman" w:cstheme="majorHAnsi"/>
                <w:sz w:val="20"/>
                <w:szCs w:val="20"/>
                <w:lang w:val="fr-FR"/>
              </w:rPr>
              <w:t xml:space="preserve">, y compris dans les pays lourdement touchés par la malnutrition et frappés par des conflits </w:t>
            </w:r>
          </w:p>
        </w:tc>
        <w:tc>
          <w:tcPr>
            <w:tcW w:w="5245" w:type="dxa"/>
          </w:tcPr>
          <w:p w14:paraId="719DBF36" w14:textId="5CC26454" w:rsidR="00CF72FE" w:rsidRPr="00BD3D80" w:rsidRDefault="003A33BA" w:rsidP="00B53EAE">
            <w:pPr>
              <w:pStyle w:val="ListParagraph"/>
              <w:numPr>
                <w:ilvl w:val="0"/>
                <w:numId w:val="28"/>
              </w:numPr>
              <w:rPr>
                <w:sz w:val="20"/>
                <w:szCs w:val="20"/>
                <w:lang w:val="fr-FR"/>
              </w:rPr>
            </w:pPr>
            <w:bookmarkStart w:id="3" w:name="_Hlk504984236"/>
            <w:r>
              <w:rPr>
                <w:sz w:val="20"/>
                <w:szCs w:val="20"/>
                <w:u w:val="single"/>
                <w:lang w:val="fr-FR"/>
              </w:rPr>
              <w:t>Niveau national</w:t>
            </w:r>
            <w:r>
              <w:rPr>
                <w:sz w:val="20"/>
                <w:szCs w:val="20"/>
                <w:lang w:val="fr-FR"/>
              </w:rPr>
              <w:t> : Nombre de politiques et de stratégies en place révisées par les ASC accordant une plus grande priorité à la nutrition</w:t>
            </w:r>
            <w:r w:rsidR="002C54BD">
              <w:rPr>
                <w:sz w:val="20"/>
                <w:szCs w:val="20"/>
                <w:lang w:val="fr-FR"/>
              </w:rPr>
              <w:t> </w:t>
            </w:r>
            <w:r>
              <w:rPr>
                <w:sz w:val="20"/>
                <w:szCs w:val="20"/>
                <w:lang w:val="fr-FR"/>
              </w:rPr>
              <w:t xml:space="preserve">; (liste de </w:t>
            </w:r>
            <w:r w:rsidR="003B206C">
              <w:rPr>
                <w:sz w:val="20"/>
                <w:szCs w:val="20"/>
                <w:lang w:val="fr-FR"/>
              </w:rPr>
              <w:t>données probantes</w:t>
            </w:r>
            <w:r>
              <w:rPr>
                <w:sz w:val="20"/>
                <w:szCs w:val="20"/>
                <w:lang w:val="fr-FR"/>
              </w:rPr>
              <w:t xml:space="preserve"> supplémentaires d</w:t>
            </w:r>
            <w:r w:rsidR="002C54BD">
              <w:rPr>
                <w:sz w:val="20"/>
                <w:szCs w:val="20"/>
                <w:lang w:val="fr-FR"/>
              </w:rPr>
              <w:t>’</w:t>
            </w:r>
            <w:r>
              <w:rPr>
                <w:sz w:val="20"/>
                <w:szCs w:val="20"/>
                <w:lang w:val="fr-FR"/>
              </w:rPr>
              <w:t xml:space="preserve">interventions </w:t>
            </w:r>
            <w:r w:rsidR="003B206C">
              <w:rPr>
                <w:sz w:val="20"/>
                <w:szCs w:val="20"/>
                <w:lang w:val="fr-FR"/>
              </w:rPr>
              <w:t xml:space="preserve">nutritionnelles </w:t>
            </w:r>
            <w:r>
              <w:rPr>
                <w:sz w:val="20"/>
                <w:szCs w:val="20"/>
                <w:lang w:val="fr-FR"/>
              </w:rPr>
              <w:t xml:space="preserve">nouvelles/renforcées incluses dans les politiques) </w:t>
            </w:r>
          </w:p>
          <w:bookmarkEnd w:id="3"/>
          <w:p w14:paraId="29659A7B" w14:textId="65D9C9EF" w:rsidR="003A33BA" w:rsidRPr="00BD3D80" w:rsidRDefault="00B07840" w:rsidP="00B53EAE">
            <w:pPr>
              <w:pStyle w:val="ListParagraph"/>
              <w:numPr>
                <w:ilvl w:val="0"/>
                <w:numId w:val="28"/>
              </w:numPr>
              <w:spacing w:beforeLines="60" w:before="144" w:afterLines="60" w:after="144"/>
              <w:rPr>
                <w:color w:val="FF0000"/>
                <w:sz w:val="20"/>
                <w:szCs w:val="20"/>
                <w:lang w:val="fr-FR"/>
              </w:rPr>
            </w:pPr>
            <w:r>
              <w:rPr>
                <w:sz w:val="20"/>
                <w:szCs w:val="20"/>
                <w:u w:val="single"/>
                <w:lang w:val="fr-FR"/>
              </w:rPr>
              <w:t>Niveau mondial</w:t>
            </w:r>
            <w:r w:rsidR="002C54BD">
              <w:rPr>
                <w:sz w:val="20"/>
                <w:szCs w:val="20"/>
                <w:lang w:val="fr-FR"/>
              </w:rPr>
              <w:t> </w:t>
            </w:r>
            <w:r>
              <w:rPr>
                <w:sz w:val="20"/>
                <w:szCs w:val="20"/>
                <w:lang w:val="fr-FR"/>
              </w:rPr>
              <w:t xml:space="preserve">: </w:t>
            </w:r>
            <w:r w:rsidR="00C26CAB">
              <w:rPr>
                <w:sz w:val="20"/>
                <w:szCs w:val="20"/>
                <w:lang w:val="fr-FR"/>
              </w:rPr>
              <w:t xml:space="preserve">Pourcentage </w:t>
            </w:r>
            <w:r>
              <w:rPr>
                <w:sz w:val="20"/>
                <w:szCs w:val="20"/>
                <w:lang w:val="fr-FR"/>
              </w:rPr>
              <w:t xml:space="preserve">de </w:t>
            </w:r>
            <w:r w:rsidR="0029661A">
              <w:rPr>
                <w:sz w:val="20"/>
                <w:szCs w:val="20"/>
                <w:lang w:val="fr-FR"/>
              </w:rPr>
              <w:t>plans nationaux de nutrition</w:t>
            </w:r>
            <w:r>
              <w:rPr>
                <w:sz w:val="20"/>
                <w:szCs w:val="20"/>
                <w:lang w:val="fr-FR"/>
              </w:rPr>
              <w:t xml:space="preserve"> (PNN) qui montrent clairement qu</w:t>
            </w:r>
            <w:r w:rsidR="002C54BD">
              <w:rPr>
                <w:sz w:val="20"/>
                <w:szCs w:val="20"/>
                <w:lang w:val="fr-FR"/>
              </w:rPr>
              <w:t>’</w:t>
            </w:r>
            <w:r>
              <w:rPr>
                <w:sz w:val="20"/>
                <w:szCs w:val="20"/>
                <w:lang w:val="fr-FR"/>
              </w:rPr>
              <w:t>ils intègrent les contributions des ASC et qui mettent en particulier l</w:t>
            </w:r>
            <w:r w:rsidR="002C54BD">
              <w:rPr>
                <w:sz w:val="20"/>
                <w:szCs w:val="20"/>
                <w:lang w:val="fr-FR"/>
              </w:rPr>
              <w:t>’</w:t>
            </w:r>
            <w:r>
              <w:rPr>
                <w:sz w:val="20"/>
                <w:szCs w:val="20"/>
                <w:lang w:val="fr-FR"/>
              </w:rPr>
              <w:t>accent sur l</w:t>
            </w:r>
            <w:r w:rsidR="002C54BD">
              <w:rPr>
                <w:sz w:val="20"/>
                <w:szCs w:val="20"/>
                <w:lang w:val="fr-FR"/>
              </w:rPr>
              <w:t>’</w:t>
            </w:r>
            <w:r>
              <w:rPr>
                <w:sz w:val="20"/>
                <w:szCs w:val="20"/>
                <w:lang w:val="fr-FR"/>
              </w:rPr>
              <w:t xml:space="preserve">équité et les droits de </w:t>
            </w:r>
            <w:r w:rsidR="003B206C">
              <w:rPr>
                <w:sz w:val="20"/>
                <w:szCs w:val="20"/>
                <w:lang w:val="fr-FR"/>
              </w:rPr>
              <w:t>l’homme</w:t>
            </w:r>
            <w:r>
              <w:rPr>
                <w:sz w:val="20"/>
                <w:szCs w:val="20"/>
                <w:lang w:val="fr-FR"/>
              </w:rPr>
              <w:t xml:space="preserve">. </w:t>
            </w:r>
            <w:r>
              <w:rPr>
                <w:sz w:val="20"/>
                <w:szCs w:val="20"/>
                <w:u w:val="single"/>
                <w:lang w:val="fr-FR"/>
              </w:rPr>
              <w:t>Niveau national</w:t>
            </w:r>
            <w:r w:rsidR="002C54BD">
              <w:rPr>
                <w:sz w:val="20"/>
                <w:szCs w:val="20"/>
                <w:lang w:val="fr-FR"/>
              </w:rPr>
              <w:t> </w:t>
            </w:r>
            <w:r>
              <w:rPr>
                <w:sz w:val="20"/>
                <w:szCs w:val="20"/>
                <w:lang w:val="fr-FR"/>
              </w:rPr>
              <w:t>: existence d</w:t>
            </w:r>
            <w:r w:rsidR="002C54BD">
              <w:rPr>
                <w:sz w:val="20"/>
                <w:szCs w:val="20"/>
                <w:lang w:val="fr-FR"/>
              </w:rPr>
              <w:t>’</w:t>
            </w:r>
            <w:r>
              <w:rPr>
                <w:sz w:val="20"/>
                <w:szCs w:val="20"/>
                <w:lang w:val="fr-FR"/>
              </w:rPr>
              <w:t xml:space="preserve">un PNN qui inclut les contributions des ASC sur </w:t>
            </w:r>
            <w:r>
              <w:rPr>
                <w:i/>
                <w:iCs/>
                <w:sz w:val="20"/>
                <w:szCs w:val="20"/>
                <w:lang w:val="fr-FR"/>
              </w:rPr>
              <w:t>l</w:t>
            </w:r>
            <w:r w:rsidR="002C54BD">
              <w:rPr>
                <w:i/>
                <w:iCs/>
                <w:sz w:val="20"/>
                <w:szCs w:val="20"/>
                <w:lang w:val="fr-FR"/>
              </w:rPr>
              <w:t>’</w:t>
            </w:r>
            <w:r>
              <w:rPr>
                <w:i/>
                <w:iCs/>
                <w:sz w:val="20"/>
                <w:szCs w:val="20"/>
                <w:lang w:val="fr-FR"/>
              </w:rPr>
              <w:t>équité et les droits de l</w:t>
            </w:r>
            <w:r w:rsidR="002C54BD">
              <w:rPr>
                <w:i/>
                <w:iCs/>
                <w:sz w:val="20"/>
                <w:szCs w:val="20"/>
                <w:lang w:val="fr-FR"/>
              </w:rPr>
              <w:t>’</w:t>
            </w:r>
            <w:r>
              <w:rPr>
                <w:i/>
                <w:iCs/>
                <w:sz w:val="20"/>
                <w:szCs w:val="20"/>
                <w:lang w:val="fr-FR"/>
              </w:rPr>
              <w:t>homme</w:t>
            </w:r>
            <w:r>
              <w:rPr>
                <w:sz w:val="20"/>
                <w:szCs w:val="20"/>
                <w:lang w:val="fr-FR"/>
              </w:rPr>
              <w:t xml:space="preserve">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0B8B4CC2" w14:textId="1E5864F2" w:rsidR="00701C07" w:rsidRPr="002C54BD" w:rsidRDefault="00701C07" w:rsidP="00B53EAE">
            <w:pPr>
              <w:pStyle w:val="ListParagraph"/>
              <w:numPr>
                <w:ilvl w:val="0"/>
                <w:numId w:val="28"/>
              </w:numPr>
              <w:spacing w:beforeLines="60" w:before="144" w:afterLines="60" w:after="144"/>
              <w:rPr>
                <w:color w:val="FF0000"/>
                <w:sz w:val="20"/>
                <w:szCs w:val="20"/>
                <w:lang w:val="fr-FR"/>
              </w:rPr>
            </w:pPr>
            <w:r>
              <w:rPr>
                <w:sz w:val="20"/>
                <w:szCs w:val="20"/>
                <w:u w:val="single"/>
                <w:lang w:val="fr-FR"/>
              </w:rPr>
              <w:t>Niveau mondial</w:t>
            </w:r>
            <w:r w:rsidR="002C54BD">
              <w:rPr>
                <w:sz w:val="20"/>
                <w:szCs w:val="20"/>
                <w:lang w:val="fr-FR"/>
              </w:rPr>
              <w:t> </w:t>
            </w:r>
            <w:r>
              <w:rPr>
                <w:sz w:val="20"/>
                <w:szCs w:val="20"/>
                <w:lang w:val="fr-FR"/>
              </w:rPr>
              <w:t xml:space="preserve">: </w:t>
            </w:r>
            <w:r w:rsidR="00C26CAB">
              <w:rPr>
                <w:sz w:val="20"/>
                <w:szCs w:val="20"/>
                <w:lang w:val="fr-FR"/>
              </w:rPr>
              <w:t xml:space="preserve">Pourcentage </w:t>
            </w:r>
            <w:r>
              <w:rPr>
                <w:sz w:val="20"/>
                <w:szCs w:val="20"/>
                <w:lang w:val="fr-FR"/>
              </w:rPr>
              <w:t xml:space="preserve">de </w:t>
            </w:r>
            <w:r w:rsidR="0029661A">
              <w:rPr>
                <w:sz w:val="20"/>
                <w:szCs w:val="20"/>
                <w:lang w:val="fr-FR"/>
              </w:rPr>
              <w:t>plans nationaux de nutrition</w:t>
            </w:r>
            <w:r>
              <w:rPr>
                <w:sz w:val="20"/>
                <w:szCs w:val="20"/>
                <w:lang w:val="fr-FR"/>
              </w:rPr>
              <w:t xml:space="preserve"> (PNN) qui montrent clairement qu</w:t>
            </w:r>
            <w:r w:rsidR="002C54BD">
              <w:rPr>
                <w:sz w:val="20"/>
                <w:szCs w:val="20"/>
                <w:lang w:val="fr-FR"/>
              </w:rPr>
              <w:t>’</w:t>
            </w:r>
            <w:r>
              <w:rPr>
                <w:sz w:val="20"/>
                <w:szCs w:val="20"/>
                <w:lang w:val="fr-FR"/>
              </w:rPr>
              <w:t xml:space="preserve">ils intègrent les contributions des ASC </w:t>
            </w:r>
            <w:r w:rsidR="00EC07E8">
              <w:rPr>
                <w:sz w:val="20"/>
                <w:szCs w:val="20"/>
                <w:lang w:val="fr-FR"/>
              </w:rPr>
              <w:t>concernant</w:t>
            </w:r>
            <w:r>
              <w:rPr>
                <w:sz w:val="20"/>
                <w:szCs w:val="20"/>
                <w:lang w:val="fr-FR"/>
              </w:rPr>
              <w:t xml:space="preserve"> les inégalités entre les sexes et l</w:t>
            </w:r>
            <w:r w:rsidR="002C54BD">
              <w:rPr>
                <w:sz w:val="20"/>
                <w:szCs w:val="20"/>
                <w:lang w:val="fr-FR"/>
              </w:rPr>
              <w:t>’</w:t>
            </w:r>
            <w:r>
              <w:rPr>
                <w:sz w:val="20"/>
                <w:szCs w:val="20"/>
                <w:lang w:val="fr-FR"/>
              </w:rPr>
              <w:t xml:space="preserve">autonomisation des femmes. </w:t>
            </w:r>
            <w:r>
              <w:rPr>
                <w:sz w:val="20"/>
                <w:szCs w:val="20"/>
                <w:u w:val="single"/>
                <w:lang w:val="fr-FR"/>
              </w:rPr>
              <w:t>Niveau national</w:t>
            </w:r>
            <w:r w:rsidR="002C54BD">
              <w:rPr>
                <w:sz w:val="20"/>
                <w:szCs w:val="20"/>
                <w:lang w:val="fr-FR"/>
              </w:rPr>
              <w:t> </w:t>
            </w:r>
            <w:r>
              <w:rPr>
                <w:sz w:val="20"/>
                <w:szCs w:val="20"/>
                <w:lang w:val="fr-FR"/>
              </w:rPr>
              <w:t>: existence d</w:t>
            </w:r>
            <w:r w:rsidR="002C54BD">
              <w:rPr>
                <w:sz w:val="20"/>
                <w:szCs w:val="20"/>
                <w:lang w:val="fr-FR"/>
              </w:rPr>
              <w:t>’</w:t>
            </w:r>
            <w:r>
              <w:rPr>
                <w:sz w:val="20"/>
                <w:szCs w:val="20"/>
                <w:lang w:val="fr-FR"/>
              </w:rPr>
              <w:t>un PNN qui inclut les contributions des ASC concernant l</w:t>
            </w:r>
            <w:r w:rsidR="002C54BD">
              <w:rPr>
                <w:sz w:val="20"/>
                <w:szCs w:val="20"/>
                <w:lang w:val="fr-FR"/>
              </w:rPr>
              <w:t>’</w:t>
            </w:r>
            <w:r>
              <w:rPr>
                <w:sz w:val="20"/>
                <w:szCs w:val="20"/>
                <w:lang w:val="fr-FR"/>
              </w:rPr>
              <w:t xml:space="preserve">inégalité entre les sexes et </w:t>
            </w:r>
            <w:r>
              <w:rPr>
                <w:i/>
                <w:iCs/>
                <w:sz w:val="20"/>
                <w:szCs w:val="20"/>
                <w:lang w:val="fr-FR"/>
              </w:rPr>
              <w:t>l</w:t>
            </w:r>
            <w:r w:rsidR="002C54BD">
              <w:rPr>
                <w:i/>
                <w:iCs/>
                <w:sz w:val="20"/>
                <w:szCs w:val="20"/>
                <w:lang w:val="fr-FR"/>
              </w:rPr>
              <w:t>’</w:t>
            </w:r>
            <w:r>
              <w:rPr>
                <w:i/>
                <w:iCs/>
                <w:sz w:val="20"/>
                <w:szCs w:val="20"/>
                <w:lang w:val="fr-FR"/>
              </w:rPr>
              <w:t xml:space="preserve">autonomisation des femmes.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51761DE1" w14:textId="568C430C" w:rsidR="008F6F6E" w:rsidRPr="00BD3D80" w:rsidRDefault="008F6F6E" w:rsidP="00B53EAE">
            <w:pPr>
              <w:pStyle w:val="ListParagraph"/>
              <w:numPr>
                <w:ilvl w:val="0"/>
                <w:numId w:val="28"/>
              </w:numPr>
              <w:spacing w:beforeLines="60" w:before="144" w:afterLines="60" w:after="144"/>
              <w:rPr>
                <w:color w:val="FF0000"/>
                <w:sz w:val="20"/>
                <w:szCs w:val="20"/>
                <w:lang w:val="fr-FR"/>
              </w:rPr>
            </w:pPr>
            <w:r>
              <w:rPr>
                <w:color w:val="FF0000"/>
                <w:sz w:val="20"/>
                <w:szCs w:val="20"/>
                <w:lang w:val="fr-FR"/>
              </w:rPr>
              <w:t xml:space="preserve">Nombre de </w:t>
            </w:r>
            <w:r w:rsidR="0029661A">
              <w:rPr>
                <w:color w:val="FF0000"/>
                <w:sz w:val="20"/>
                <w:szCs w:val="20"/>
                <w:lang w:val="fr-FR"/>
              </w:rPr>
              <w:t xml:space="preserve">plans </w:t>
            </w:r>
            <w:r w:rsidR="00B41EB5">
              <w:rPr>
                <w:color w:val="FF0000"/>
                <w:sz w:val="20"/>
                <w:szCs w:val="20"/>
                <w:lang w:val="fr-FR"/>
              </w:rPr>
              <w:t xml:space="preserve">infranationaux </w:t>
            </w:r>
            <w:r w:rsidR="0029661A">
              <w:rPr>
                <w:color w:val="FF0000"/>
                <w:sz w:val="20"/>
                <w:szCs w:val="20"/>
                <w:lang w:val="fr-FR"/>
              </w:rPr>
              <w:t>de nutrition</w:t>
            </w:r>
            <w:r>
              <w:rPr>
                <w:color w:val="FF0000"/>
                <w:sz w:val="20"/>
                <w:szCs w:val="20"/>
                <w:lang w:val="fr-FR"/>
              </w:rPr>
              <w:t xml:space="preserve"> en place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7E3D1552" w14:textId="2DD9097F" w:rsidR="008F6F6E" w:rsidRPr="00BD3D80" w:rsidRDefault="008F6F6E" w:rsidP="00B53EAE">
            <w:pPr>
              <w:pStyle w:val="ListParagraph"/>
              <w:numPr>
                <w:ilvl w:val="0"/>
                <w:numId w:val="28"/>
              </w:numPr>
              <w:spacing w:beforeLines="60" w:before="144" w:afterLines="60" w:after="144"/>
              <w:rPr>
                <w:color w:val="FF0000"/>
                <w:sz w:val="20"/>
                <w:szCs w:val="20"/>
                <w:lang w:val="fr-FR"/>
              </w:rPr>
            </w:pPr>
            <w:r>
              <w:rPr>
                <w:color w:val="FF0000"/>
                <w:sz w:val="20"/>
                <w:szCs w:val="20"/>
                <w:lang w:val="fr-FR"/>
              </w:rPr>
              <w:lastRenderedPageBreak/>
              <w:t xml:space="preserve">Nombre de </w:t>
            </w:r>
            <w:r w:rsidR="0029661A">
              <w:rPr>
                <w:color w:val="FF0000"/>
                <w:sz w:val="20"/>
                <w:szCs w:val="20"/>
                <w:lang w:val="fr-FR"/>
              </w:rPr>
              <w:t xml:space="preserve">plans </w:t>
            </w:r>
            <w:r w:rsidR="00B41EB5">
              <w:rPr>
                <w:color w:val="FF0000"/>
                <w:sz w:val="20"/>
                <w:szCs w:val="20"/>
                <w:lang w:val="fr-FR"/>
              </w:rPr>
              <w:t xml:space="preserve">infranationaux </w:t>
            </w:r>
            <w:r w:rsidR="0029661A">
              <w:rPr>
                <w:color w:val="FF0000"/>
                <w:sz w:val="20"/>
                <w:szCs w:val="20"/>
                <w:lang w:val="fr-FR"/>
              </w:rPr>
              <w:t>de nutrition</w:t>
            </w:r>
            <w:r>
              <w:rPr>
                <w:color w:val="FF0000"/>
                <w:sz w:val="20"/>
                <w:szCs w:val="20"/>
                <w:lang w:val="fr-FR"/>
              </w:rPr>
              <w:t xml:space="preserve"> </w:t>
            </w:r>
            <w:r w:rsidR="00F90EEE">
              <w:rPr>
                <w:color w:val="FF0000"/>
                <w:sz w:val="20"/>
                <w:szCs w:val="20"/>
                <w:lang w:val="fr-FR"/>
              </w:rPr>
              <w:t>démontrant</w:t>
            </w:r>
            <w:r>
              <w:rPr>
                <w:color w:val="FF0000"/>
                <w:sz w:val="20"/>
                <w:szCs w:val="20"/>
                <w:lang w:val="fr-FR"/>
              </w:rPr>
              <w:t xml:space="preserve"> la clarté et la pertinence des priorités, des buts, des objectifs, des interventions et des programmes, sur la base d</w:t>
            </w:r>
            <w:r w:rsidR="002C54BD">
              <w:rPr>
                <w:color w:val="FF0000"/>
                <w:sz w:val="20"/>
                <w:szCs w:val="20"/>
                <w:lang w:val="fr-FR"/>
              </w:rPr>
              <w:t>’</w:t>
            </w:r>
            <w:r>
              <w:rPr>
                <w:color w:val="FF0000"/>
                <w:sz w:val="20"/>
                <w:szCs w:val="20"/>
                <w:lang w:val="fr-FR"/>
              </w:rPr>
              <w:t xml:space="preserve">une analyse solide de la situation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4BBD7DAB" w14:textId="0B6C1A2F" w:rsidR="00CF72FE" w:rsidRPr="00BD3D80" w:rsidRDefault="003A33BA" w:rsidP="00B53EAE">
            <w:pPr>
              <w:pStyle w:val="ListParagraph"/>
              <w:numPr>
                <w:ilvl w:val="0"/>
                <w:numId w:val="28"/>
              </w:numPr>
              <w:spacing w:beforeLines="60" w:before="144" w:afterLines="60" w:after="144"/>
              <w:rPr>
                <w:color w:val="FF0000"/>
                <w:sz w:val="20"/>
                <w:szCs w:val="20"/>
                <w:lang w:val="fr-FR"/>
              </w:rPr>
            </w:pPr>
            <w:r>
              <w:rPr>
                <w:sz w:val="20"/>
                <w:szCs w:val="20"/>
                <w:lang w:val="fr-FR"/>
              </w:rPr>
              <w:t>Preuve de l</w:t>
            </w:r>
            <w:r w:rsidR="002C54BD">
              <w:rPr>
                <w:sz w:val="20"/>
                <w:szCs w:val="20"/>
                <w:lang w:val="fr-FR"/>
              </w:rPr>
              <w:t>’</w:t>
            </w:r>
            <w:r>
              <w:rPr>
                <w:sz w:val="20"/>
                <w:szCs w:val="20"/>
                <w:lang w:val="fr-FR"/>
              </w:rPr>
              <w:t>existence ou de l</w:t>
            </w:r>
            <w:r w:rsidR="002C54BD">
              <w:rPr>
                <w:sz w:val="20"/>
                <w:szCs w:val="20"/>
                <w:lang w:val="fr-FR"/>
              </w:rPr>
              <w:t>’</w:t>
            </w:r>
            <w:r>
              <w:rPr>
                <w:sz w:val="20"/>
                <w:szCs w:val="20"/>
                <w:lang w:val="fr-FR"/>
              </w:rPr>
              <w:t xml:space="preserve">amélioration de </w:t>
            </w:r>
            <w:r w:rsidR="0029661A">
              <w:rPr>
                <w:sz w:val="20"/>
                <w:szCs w:val="20"/>
                <w:lang w:val="fr-FR"/>
              </w:rPr>
              <w:t>plans nationaux de nutrition</w:t>
            </w:r>
            <w:r>
              <w:rPr>
                <w:sz w:val="20"/>
                <w:szCs w:val="20"/>
                <w:lang w:val="fr-FR"/>
              </w:rPr>
              <w:t xml:space="preserve"> </w:t>
            </w:r>
            <w:r w:rsidR="00F90EEE">
              <w:rPr>
                <w:sz w:val="20"/>
                <w:szCs w:val="20"/>
                <w:lang w:val="fr-FR"/>
              </w:rPr>
              <w:t>démontrant</w:t>
            </w:r>
            <w:r>
              <w:rPr>
                <w:sz w:val="20"/>
                <w:szCs w:val="20"/>
                <w:lang w:val="fr-FR"/>
              </w:rPr>
              <w:t xml:space="preserve"> la clarté et la pertinence des priorités, des buts, des objectifs, des interventions et des programmes, sur la base d</w:t>
            </w:r>
            <w:r w:rsidR="002C54BD">
              <w:rPr>
                <w:sz w:val="20"/>
                <w:szCs w:val="20"/>
                <w:lang w:val="fr-FR"/>
              </w:rPr>
              <w:t>’</w:t>
            </w:r>
            <w:r>
              <w:rPr>
                <w:sz w:val="20"/>
                <w:szCs w:val="20"/>
                <w:lang w:val="fr-FR"/>
              </w:rPr>
              <w:t>une analyse solide de la situation (cf. p. ex. en utilisant la liste de contrôle du PNN ou l</w:t>
            </w:r>
            <w:r w:rsidR="002C54BD">
              <w:rPr>
                <w:sz w:val="20"/>
                <w:szCs w:val="20"/>
                <w:lang w:val="fr-FR"/>
              </w:rPr>
              <w:t>’</w:t>
            </w:r>
            <w:r>
              <w:rPr>
                <w:sz w:val="20"/>
                <w:szCs w:val="20"/>
                <w:lang w:val="fr-FR"/>
              </w:rPr>
              <w:t>évaluation annuelle conjointe, démontrer la qualité du PNN et l</w:t>
            </w:r>
            <w:r w:rsidR="002C54BD">
              <w:rPr>
                <w:sz w:val="20"/>
                <w:szCs w:val="20"/>
                <w:lang w:val="fr-FR"/>
              </w:rPr>
              <w:t>’</w:t>
            </w:r>
            <w:r>
              <w:rPr>
                <w:sz w:val="20"/>
                <w:szCs w:val="20"/>
                <w:lang w:val="fr-FR"/>
              </w:rPr>
              <w:t xml:space="preserve">amélioration </w:t>
            </w:r>
            <w:r w:rsidR="00F90EEE">
              <w:rPr>
                <w:sz w:val="20"/>
                <w:szCs w:val="20"/>
                <w:lang w:val="fr-FR"/>
              </w:rPr>
              <w:t xml:space="preserve">apportée </w:t>
            </w:r>
            <w:r>
              <w:rPr>
                <w:sz w:val="20"/>
                <w:szCs w:val="20"/>
                <w:lang w:val="fr-FR"/>
              </w:rPr>
              <w:t xml:space="preserve">en donnant une note ou </w:t>
            </w:r>
            <w:r w:rsidR="00F90EEE">
              <w:rPr>
                <w:sz w:val="20"/>
                <w:szCs w:val="20"/>
                <w:lang w:val="fr-FR"/>
              </w:rPr>
              <w:t xml:space="preserve">en réalisant </w:t>
            </w:r>
            <w:r>
              <w:rPr>
                <w:sz w:val="20"/>
                <w:szCs w:val="20"/>
                <w:lang w:val="fr-FR"/>
              </w:rPr>
              <w:t>une évaluation rigoureuse</w:t>
            </w:r>
            <w:r w:rsidR="00F90EEE">
              <w:rPr>
                <w:sz w:val="20"/>
                <w:szCs w:val="20"/>
                <w:lang w:val="fr-FR"/>
              </w:rPr>
              <w:t>)</w:t>
            </w:r>
            <w:r>
              <w:rPr>
                <w:sz w:val="20"/>
                <w:szCs w:val="20"/>
                <w:lang w:val="fr-FR"/>
              </w:rPr>
              <w:t xml:space="preserve"> </w:t>
            </w:r>
            <w:r w:rsidR="00F90EEE" w:rsidRPr="00F90EEE">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r w:rsidR="00C26CAB">
              <w:rPr>
                <w:sz w:val="20"/>
                <w:szCs w:val="20"/>
                <w:lang w:val="fr-FR"/>
              </w:rPr>
              <w:t xml:space="preserve">         </w:t>
            </w:r>
          </w:p>
        </w:tc>
      </w:tr>
      <w:tr w:rsidR="00670294" w:rsidRPr="00880085" w14:paraId="6A901750" w14:textId="77777777" w:rsidTr="00384938">
        <w:tc>
          <w:tcPr>
            <w:tcW w:w="3964" w:type="dxa"/>
          </w:tcPr>
          <w:p w14:paraId="1CF772CD" w14:textId="071797FB" w:rsidR="00670294" w:rsidRPr="007236BE" w:rsidRDefault="00670294" w:rsidP="00CE0FBA">
            <w:pPr>
              <w:rPr>
                <w:rFonts w:eastAsia="Times New Roman" w:cstheme="majorHAnsi"/>
                <w:b/>
                <w:bCs/>
                <w:sz w:val="20"/>
                <w:szCs w:val="20"/>
              </w:rPr>
            </w:pPr>
            <w:r>
              <w:rPr>
                <w:rFonts w:eastAsia="Times New Roman" w:cstheme="majorHAnsi"/>
                <w:b/>
                <w:bCs/>
                <w:sz w:val="20"/>
                <w:szCs w:val="20"/>
                <w:lang w:val="fr-FR"/>
              </w:rPr>
              <w:lastRenderedPageBreak/>
              <w:t>Risques/hypothèses</w:t>
            </w:r>
          </w:p>
        </w:tc>
        <w:tc>
          <w:tcPr>
            <w:tcW w:w="5245" w:type="dxa"/>
          </w:tcPr>
          <w:p w14:paraId="770B4FCD" w14:textId="4A05C5E7" w:rsidR="00670294" w:rsidRPr="00BD3D80" w:rsidRDefault="00670294" w:rsidP="00B53EAE">
            <w:pPr>
              <w:pStyle w:val="ListParagraph"/>
              <w:numPr>
                <w:ilvl w:val="0"/>
                <w:numId w:val="28"/>
              </w:numPr>
              <w:rPr>
                <w:sz w:val="20"/>
                <w:szCs w:val="20"/>
                <w:lang w:val="fr-FR"/>
              </w:rPr>
            </w:pPr>
            <w:r>
              <w:rPr>
                <w:sz w:val="20"/>
                <w:szCs w:val="20"/>
                <w:lang w:val="fr-FR"/>
              </w:rPr>
              <w:t>La société civile a un espace de dialogue avec le gouvernement</w:t>
            </w:r>
          </w:p>
          <w:p w14:paraId="5BFBEBC0" w14:textId="624FF48E" w:rsidR="00670294" w:rsidRPr="00BD3D80" w:rsidRDefault="00670294" w:rsidP="00B53EAE">
            <w:pPr>
              <w:pStyle w:val="ListParagraph"/>
              <w:numPr>
                <w:ilvl w:val="0"/>
                <w:numId w:val="28"/>
              </w:numPr>
              <w:rPr>
                <w:sz w:val="20"/>
                <w:szCs w:val="20"/>
                <w:lang w:val="fr-FR"/>
              </w:rPr>
            </w:pPr>
            <w:r>
              <w:rPr>
                <w:sz w:val="20"/>
                <w:szCs w:val="20"/>
                <w:lang w:val="fr-FR"/>
              </w:rPr>
              <w:t xml:space="preserve">Des plateformes </w:t>
            </w:r>
            <w:proofErr w:type="spellStart"/>
            <w:r w:rsidR="00C81624">
              <w:rPr>
                <w:sz w:val="20"/>
                <w:szCs w:val="20"/>
                <w:lang w:val="fr-FR"/>
              </w:rPr>
              <w:t>multiacteurs</w:t>
            </w:r>
            <w:proofErr w:type="spellEnd"/>
            <w:r w:rsidR="00C81624">
              <w:rPr>
                <w:sz w:val="20"/>
                <w:szCs w:val="20"/>
                <w:lang w:val="fr-FR"/>
              </w:rPr>
              <w:t xml:space="preserve"> </w:t>
            </w:r>
            <w:r>
              <w:rPr>
                <w:sz w:val="20"/>
                <w:szCs w:val="20"/>
                <w:lang w:val="fr-FR"/>
              </w:rPr>
              <w:t>existent et fonctionnent</w:t>
            </w:r>
          </w:p>
        </w:tc>
      </w:tr>
      <w:tr w:rsidR="00CF72FE" w:rsidRPr="00916CA5" w14:paraId="24DC5A5F" w14:textId="77777777" w:rsidTr="00384938">
        <w:tc>
          <w:tcPr>
            <w:tcW w:w="3964" w:type="dxa"/>
          </w:tcPr>
          <w:p w14:paraId="4C6B9D79" w14:textId="7FFA37CF" w:rsidR="00CF72FE" w:rsidRPr="00916CA5" w:rsidRDefault="00CF72FE" w:rsidP="00CE0FBA">
            <w:pPr>
              <w:rPr>
                <w:rFonts w:eastAsia="Times New Roman" w:cstheme="majorHAnsi"/>
                <w:b/>
                <w:bCs/>
                <w:color w:val="000000"/>
                <w:sz w:val="20"/>
                <w:szCs w:val="20"/>
              </w:rPr>
            </w:pPr>
            <w:r>
              <w:rPr>
                <w:rFonts w:eastAsia="Times New Roman" w:cstheme="majorHAnsi"/>
                <w:b/>
                <w:bCs/>
                <w:color w:val="000000"/>
                <w:sz w:val="20"/>
                <w:szCs w:val="20"/>
                <w:lang w:val="fr-FR"/>
              </w:rPr>
              <w:t>Résultat intermédiaire</w:t>
            </w:r>
            <w:r w:rsidR="002C54BD">
              <w:rPr>
                <w:rFonts w:eastAsia="Times New Roman" w:cstheme="majorHAnsi"/>
                <w:b/>
                <w:bCs/>
                <w:color w:val="000000"/>
                <w:sz w:val="20"/>
                <w:szCs w:val="20"/>
                <w:lang w:val="fr-FR"/>
              </w:rPr>
              <w:t> </w:t>
            </w:r>
            <w:r>
              <w:rPr>
                <w:rFonts w:eastAsia="Times New Roman" w:cstheme="majorHAnsi"/>
                <w:b/>
                <w:bCs/>
                <w:color w:val="000000"/>
                <w:sz w:val="20"/>
                <w:szCs w:val="20"/>
                <w:lang w:val="fr-FR"/>
              </w:rPr>
              <w:t>1</w:t>
            </w:r>
          </w:p>
        </w:tc>
        <w:tc>
          <w:tcPr>
            <w:tcW w:w="5245" w:type="dxa"/>
          </w:tcPr>
          <w:p w14:paraId="5785034C" w14:textId="77777777" w:rsidR="00CF72FE" w:rsidRPr="00B53EAE" w:rsidRDefault="00CF72FE" w:rsidP="00B53EAE">
            <w:pPr>
              <w:pStyle w:val="ListParagraph"/>
              <w:numPr>
                <w:ilvl w:val="1"/>
                <w:numId w:val="28"/>
              </w:numPr>
              <w:rPr>
                <w:sz w:val="20"/>
                <w:szCs w:val="20"/>
              </w:rPr>
            </w:pPr>
          </w:p>
        </w:tc>
      </w:tr>
      <w:tr w:rsidR="00CF72FE" w:rsidRPr="00880085" w14:paraId="3C133D14" w14:textId="77777777" w:rsidTr="00384938">
        <w:tc>
          <w:tcPr>
            <w:tcW w:w="3964" w:type="dxa"/>
            <w:vAlign w:val="center"/>
          </w:tcPr>
          <w:p w14:paraId="3483A73C" w14:textId="7758D190" w:rsidR="00CF72FE" w:rsidRPr="00BD3D80" w:rsidRDefault="00CF72FE" w:rsidP="00CE0FBA">
            <w:pPr>
              <w:rPr>
                <w:rFonts w:eastAsia="Times New Roman" w:cstheme="majorHAnsi"/>
                <w:color w:val="000000"/>
                <w:sz w:val="20"/>
                <w:szCs w:val="20"/>
                <w:lang w:val="fr-FR"/>
              </w:rPr>
            </w:pPr>
            <w:r>
              <w:rPr>
                <w:rFonts w:eastAsia="Times New Roman" w:cstheme="majorHAnsi"/>
                <w:color w:val="000000"/>
                <w:sz w:val="20"/>
                <w:szCs w:val="20"/>
                <w:lang w:val="fr-FR"/>
              </w:rPr>
              <w:t>1.1) Les gouvernements ont une meilleure connaissance des questions nutritionnelles clés et accordent la priorité à la nutrition dans leurs plans de développement.</w:t>
            </w:r>
          </w:p>
        </w:tc>
        <w:tc>
          <w:tcPr>
            <w:tcW w:w="5245" w:type="dxa"/>
          </w:tcPr>
          <w:p w14:paraId="33CA79DE" w14:textId="0DD93449" w:rsidR="00CF72FE" w:rsidRPr="00BD3D80" w:rsidRDefault="00B97680" w:rsidP="00B53EAE">
            <w:pPr>
              <w:pStyle w:val="ListParagraph"/>
              <w:numPr>
                <w:ilvl w:val="0"/>
                <w:numId w:val="28"/>
              </w:numPr>
              <w:rPr>
                <w:rFonts w:eastAsia="Times New Roman" w:cstheme="majorHAnsi"/>
                <w:sz w:val="20"/>
                <w:szCs w:val="20"/>
                <w:lang w:val="fr-FR"/>
              </w:rPr>
            </w:pPr>
            <w:bookmarkStart w:id="4" w:name="_Hlk504984211"/>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 xml:space="preserve">engagements écrits ou de déclarations publiques répondant aux demandes/recommandations des </w:t>
            </w:r>
            <w:bookmarkEnd w:id="4"/>
            <w:r w:rsidR="00915041">
              <w:rPr>
                <w:rFonts w:eastAsia="Times New Roman" w:cstheme="majorHAnsi"/>
                <w:sz w:val="20"/>
                <w:szCs w:val="20"/>
                <w:lang w:val="fr-FR"/>
              </w:rPr>
              <w:t>ASC</w:t>
            </w:r>
          </w:p>
          <w:p w14:paraId="79B1FBBB" w14:textId="293AFBF8" w:rsidR="00CF72FE" w:rsidRPr="00BD3D80" w:rsidRDefault="00C26CAB" w:rsidP="00B53EAE">
            <w:pPr>
              <w:pStyle w:val="ListParagraph"/>
              <w:numPr>
                <w:ilvl w:val="0"/>
                <w:numId w:val="28"/>
              </w:numPr>
              <w:rPr>
                <w:sz w:val="20"/>
                <w:szCs w:val="20"/>
                <w:lang w:val="fr-FR"/>
              </w:rPr>
            </w:pPr>
            <w:r>
              <w:rPr>
                <w:rFonts w:eastAsia="Times New Roman" w:cstheme="majorHAnsi"/>
                <w:sz w:val="20"/>
                <w:szCs w:val="20"/>
                <w:lang w:val="fr-FR"/>
              </w:rPr>
              <w:t xml:space="preserve">Pourcentage </w:t>
            </w:r>
            <w:r w:rsidR="00CF72FE">
              <w:rPr>
                <w:rFonts w:eastAsia="Times New Roman" w:cstheme="majorHAnsi"/>
                <w:sz w:val="20"/>
                <w:szCs w:val="20"/>
                <w:lang w:val="fr-FR"/>
              </w:rPr>
              <w:t>d</w:t>
            </w:r>
            <w:r w:rsidR="002C54BD">
              <w:rPr>
                <w:rFonts w:eastAsia="Times New Roman" w:cstheme="majorHAnsi"/>
                <w:sz w:val="20"/>
                <w:szCs w:val="20"/>
                <w:lang w:val="fr-FR"/>
              </w:rPr>
              <w:t>’</w:t>
            </w:r>
            <w:r w:rsidR="00CF72FE">
              <w:rPr>
                <w:rFonts w:eastAsia="Times New Roman" w:cstheme="majorHAnsi"/>
                <w:sz w:val="20"/>
                <w:szCs w:val="20"/>
                <w:lang w:val="fr-FR"/>
              </w:rPr>
              <w:t>augmentation du nombre de bénéficiaires ciblés/aidés par l</w:t>
            </w:r>
            <w:r w:rsidR="002C54BD">
              <w:rPr>
                <w:rFonts w:eastAsia="Times New Roman" w:cstheme="majorHAnsi"/>
                <w:sz w:val="20"/>
                <w:szCs w:val="20"/>
                <w:lang w:val="fr-FR"/>
              </w:rPr>
              <w:t>’</w:t>
            </w:r>
            <w:r w:rsidR="00CF72FE">
              <w:rPr>
                <w:rFonts w:eastAsia="Times New Roman" w:cstheme="majorHAnsi"/>
                <w:sz w:val="20"/>
                <w:szCs w:val="20"/>
                <w:lang w:val="fr-FR"/>
              </w:rPr>
              <w:t xml:space="preserve">intervention gouvernementale prévue au niveau national ou infranational suite à la mobilisation des </w:t>
            </w:r>
            <w:r w:rsidR="00915041">
              <w:rPr>
                <w:rFonts w:eastAsia="Times New Roman" w:cstheme="majorHAnsi"/>
                <w:sz w:val="20"/>
                <w:szCs w:val="20"/>
                <w:lang w:val="fr-FR"/>
              </w:rPr>
              <w:t>ASC</w:t>
            </w:r>
            <w:r w:rsidR="00CF72FE">
              <w:rPr>
                <w:rFonts w:eastAsia="Times New Roman" w:cstheme="majorHAnsi"/>
                <w:sz w:val="20"/>
                <w:szCs w:val="20"/>
                <w:lang w:val="fr-FR"/>
              </w:rPr>
              <w:t xml:space="preserve"> (si possible H/F, lieux) </w:t>
            </w:r>
            <w:r w:rsidR="00CF72FE">
              <w:rPr>
                <w:rFonts w:eastAsia="Times New Roman" w:cstheme="majorHAnsi"/>
                <w:color w:val="70AD47" w:themeColor="accent6"/>
                <w:sz w:val="20"/>
                <w:szCs w:val="20"/>
                <w:lang w:val="fr-FR"/>
              </w:rPr>
              <w:t>(ventilation des sexes)</w:t>
            </w:r>
          </w:p>
        </w:tc>
      </w:tr>
      <w:tr w:rsidR="00CF72FE" w:rsidRPr="00880085" w14:paraId="3FC93CAB" w14:textId="77777777" w:rsidTr="00384938">
        <w:tc>
          <w:tcPr>
            <w:tcW w:w="3964" w:type="dxa"/>
          </w:tcPr>
          <w:p w14:paraId="491B03C1" w14:textId="4B289A36" w:rsidR="00CF72FE" w:rsidRPr="00BD3D80" w:rsidRDefault="00CF72FE" w:rsidP="00CE0FBA">
            <w:pPr>
              <w:rPr>
                <w:sz w:val="20"/>
                <w:szCs w:val="20"/>
                <w:lang w:val="fr-FR"/>
              </w:rPr>
            </w:pPr>
            <w:r>
              <w:rPr>
                <w:rFonts w:eastAsia="Times New Roman" w:cstheme="majorHAnsi"/>
                <w:color w:val="000000"/>
                <w:sz w:val="20"/>
                <w:szCs w:val="20"/>
                <w:lang w:val="fr-FR"/>
              </w:rPr>
              <w:t>1.2)</w:t>
            </w:r>
            <w:bookmarkStart w:id="5" w:name="_Hlk509053470"/>
            <w:r>
              <w:rPr>
                <w:rFonts w:eastAsia="Times New Roman" w:cstheme="majorHAnsi"/>
                <w:color w:val="000000"/>
                <w:sz w:val="20"/>
                <w:szCs w:val="20"/>
                <w:lang w:val="fr-FR"/>
              </w:rPr>
              <w:t xml:space="preserve"> Des politiques, directives et loi</w:t>
            </w:r>
            <w:r w:rsidR="00915041">
              <w:rPr>
                <w:rFonts w:eastAsia="Times New Roman" w:cstheme="majorHAnsi"/>
                <w:color w:val="000000"/>
                <w:sz w:val="20"/>
                <w:szCs w:val="20"/>
                <w:lang w:val="fr-FR"/>
              </w:rPr>
              <w:t>s</w:t>
            </w:r>
            <w:r>
              <w:rPr>
                <w:rFonts w:eastAsia="Times New Roman" w:cstheme="majorHAnsi"/>
                <w:color w:val="000000"/>
                <w:sz w:val="20"/>
                <w:szCs w:val="20"/>
                <w:lang w:val="fr-FR"/>
              </w:rPr>
              <w:t xml:space="preserve"> nationales, régionales et internationales s</w:t>
            </w:r>
            <w:r w:rsidR="00915041">
              <w:rPr>
                <w:rFonts w:eastAsia="Times New Roman" w:cstheme="majorHAnsi"/>
                <w:color w:val="000000"/>
                <w:sz w:val="20"/>
                <w:szCs w:val="20"/>
                <w:lang w:val="fr-FR"/>
              </w:rPr>
              <w:t>o</w:t>
            </w:r>
            <w:r>
              <w:rPr>
                <w:rFonts w:eastAsia="Times New Roman" w:cstheme="majorHAnsi"/>
                <w:color w:val="000000"/>
                <w:sz w:val="20"/>
                <w:szCs w:val="20"/>
                <w:lang w:val="fr-FR"/>
              </w:rPr>
              <w:t xml:space="preserve">nt en place pour fournir un environnement propice à l’exécution des </w:t>
            </w:r>
            <w:r w:rsidR="0029661A">
              <w:rPr>
                <w:rFonts w:eastAsia="Times New Roman" w:cstheme="majorHAnsi"/>
                <w:color w:val="000000"/>
                <w:sz w:val="20"/>
                <w:szCs w:val="20"/>
                <w:lang w:val="fr-FR"/>
              </w:rPr>
              <w:t xml:space="preserve">plans </w:t>
            </w:r>
            <w:r w:rsidR="005415D4">
              <w:rPr>
                <w:rFonts w:eastAsia="Times New Roman" w:cstheme="majorHAnsi"/>
                <w:color w:val="000000"/>
                <w:sz w:val="20"/>
                <w:szCs w:val="20"/>
                <w:lang w:val="fr-FR"/>
              </w:rPr>
              <w:t xml:space="preserve">nationaux </w:t>
            </w:r>
            <w:r w:rsidR="0029661A">
              <w:rPr>
                <w:rFonts w:eastAsia="Times New Roman" w:cstheme="majorHAnsi"/>
                <w:color w:val="000000"/>
                <w:sz w:val="20"/>
                <w:szCs w:val="20"/>
                <w:lang w:val="fr-FR"/>
              </w:rPr>
              <w:t>de nutrition</w:t>
            </w:r>
            <w:r>
              <w:rPr>
                <w:rFonts w:eastAsia="Times New Roman" w:cstheme="majorHAnsi"/>
                <w:color w:val="000000"/>
                <w:sz w:val="20"/>
                <w:szCs w:val="20"/>
                <w:lang w:val="fr-FR"/>
              </w:rPr>
              <w:t xml:space="preserve"> multisectoriels.</w:t>
            </w:r>
            <w:bookmarkEnd w:id="5"/>
          </w:p>
        </w:tc>
        <w:tc>
          <w:tcPr>
            <w:tcW w:w="5245" w:type="dxa"/>
          </w:tcPr>
          <w:p w14:paraId="2C6BD4A3" w14:textId="44CE3C54" w:rsidR="00EC0AF4" w:rsidRPr="00BD3D80" w:rsidRDefault="00B97680" w:rsidP="00B53EAE">
            <w:pPr>
              <w:pStyle w:val="ListParagraph"/>
              <w:numPr>
                <w:ilvl w:val="0"/>
                <w:numId w:val="28"/>
              </w:numPr>
              <w:rPr>
                <w:rFonts w:eastAsia="Times New Roman" w:cstheme="majorHAnsi"/>
                <w:sz w:val="20"/>
                <w:szCs w:val="20"/>
                <w:lang w:val="fr-FR"/>
              </w:rPr>
            </w:pPr>
            <w:bookmarkStart w:id="6" w:name="_Hlk504984266"/>
            <w:bookmarkStart w:id="7" w:name="_Hlk509053463"/>
            <w:r>
              <w:rPr>
                <w:rFonts w:eastAsia="Times New Roman" w:cstheme="majorHAnsi"/>
                <w:sz w:val="20"/>
                <w:szCs w:val="20"/>
                <w:lang w:val="fr-FR"/>
              </w:rPr>
              <w:t xml:space="preserve">Nombre de politiques, de </w:t>
            </w:r>
            <w:r w:rsidR="00915041">
              <w:rPr>
                <w:rFonts w:eastAsia="Times New Roman" w:cstheme="majorHAnsi"/>
                <w:sz w:val="20"/>
                <w:szCs w:val="20"/>
                <w:lang w:val="fr-FR"/>
              </w:rPr>
              <w:t>directives</w:t>
            </w:r>
            <w:r>
              <w:rPr>
                <w:rFonts w:eastAsia="Times New Roman" w:cstheme="majorHAnsi"/>
                <w:sz w:val="20"/>
                <w:szCs w:val="20"/>
                <w:lang w:val="fr-FR"/>
              </w:rPr>
              <w:t xml:space="preserve"> et de l</w:t>
            </w:r>
            <w:r w:rsidR="00915041">
              <w:rPr>
                <w:rFonts w:eastAsia="Times New Roman" w:cstheme="majorHAnsi"/>
                <w:sz w:val="20"/>
                <w:szCs w:val="20"/>
                <w:lang w:val="fr-FR"/>
              </w:rPr>
              <w:t xml:space="preserve">ois </w:t>
            </w:r>
            <w:r>
              <w:rPr>
                <w:rFonts w:eastAsia="Times New Roman" w:cstheme="majorHAnsi"/>
                <w:sz w:val="20"/>
                <w:szCs w:val="20"/>
                <w:lang w:val="fr-FR"/>
              </w:rPr>
              <w:t>améliorées</w:t>
            </w:r>
            <w:r w:rsidR="00915041">
              <w:rPr>
                <w:rFonts w:eastAsia="Times New Roman" w:cstheme="majorHAnsi"/>
                <w:sz w:val="20"/>
                <w:szCs w:val="20"/>
                <w:lang w:val="fr-FR"/>
              </w:rPr>
              <w:t xml:space="preserve"> qui ont tenu compte des</w:t>
            </w:r>
            <w:r>
              <w:rPr>
                <w:rFonts w:eastAsia="Times New Roman" w:cstheme="majorHAnsi"/>
                <w:sz w:val="20"/>
                <w:szCs w:val="20"/>
                <w:lang w:val="fr-FR"/>
              </w:rPr>
              <w:t xml:space="preserve"> contributions des ASC </w:t>
            </w:r>
            <w:bookmarkEnd w:id="6"/>
            <w:r>
              <w:rPr>
                <w:rFonts w:eastAsia="Times New Roman" w:cstheme="majorHAnsi"/>
                <w:i/>
                <w:iCs/>
                <w:sz w:val="20"/>
                <w:szCs w:val="20"/>
                <w:lang w:val="fr-FR"/>
              </w:rPr>
              <w:t>(veuillez garder une trace des contributions apportées, par exemple des contributions écrites, au cours de réunions/ateliers, par le bia</w:t>
            </w:r>
            <w:r w:rsidR="00C26CAB">
              <w:rPr>
                <w:rFonts w:eastAsia="Times New Roman" w:cstheme="majorHAnsi"/>
                <w:i/>
                <w:iCs/>
                <w:sz w:val="20"/>
                <w:szCs w:val="20"/>
                <w:lang w:val="fr-FR"/>
              </w:rPr>
              <w:t>i</w:t>
            </w:r>
            <w:r>
              <w:rPr>
                <w:rFonts w:eastAsia="Times New Roman" w:cstheme="majorHAnsi"/>
                <w:i/>
                <w:iCs/>
                <w:sz w:val="20"/>
                <w:szCs w:val="20"/>
                <w:lang w:val="fr-FR"/>
              </w:rPr>
              <w:t xml:space="preserve">s de rapports ou de </w:t>
            </w:r>
            <w:r w:rsidR="005415D4">
              <w:rPr>
                <w:rFonts w:eastAsia="Times New Roman" w:cstheme="majorHAnsi"/>
                <w:i/>
                <w:iCs/>
                <w:sz w:val="20"/>
                <w:szCs w:val="20"/>
                <w:lang w:val="fr-FR"/>
              </w:rPr>
              <w:t>notes d’information</w:t>
            </w:r>
            <w:r>
              <w:rPr>
                <w:rFonts w:eastAsia="Times New Roman" w:cstheme="majorHAnsi"/>
                <w:i/>
                <w:iCs/>
                <w:sz w:val="20"/>
                <w:szCs w:val="20"/>
                <w:lang w:val="fr-FR"/>
              </w:rPr>
              <w:t>)</w:t>
            </w:r>
            <w:bookmarkEnd w:id="7"/>
          </w:p>
        </w:tc>
      </w:tr>
      <w:tr w:rsidR="00CF72FE" w:rsidRPr="00880085" w14:paraId="1F4407F0" w14:textId="77777777" w:rsidTr="00384938">
        <w:tc>
          <w:tcPr>
            <w:tcW w:w="3964" w:type="dxa"/>
          </w:tcPr>
          <w:p w14:paraId="26294297" w14:textId="2F3FAF3C" w:rsidR="00CF72FE" w:rsidRPr="00BD3D80" w:rsidRDefault="00CF72FE" w:rsidP="00CE0FBA">
            <w:pPr>
              <w:rPr>
                <w:rFonts w:eastAsia="Times New Roman" w:cstheme="majorHAnsi"/>
                <w:color w:val="000000"/>
                <w:sz w:val="20"/>
                <w:szCs w:val="20"/>
                <w:lang w:val="fr-FR"/>
              </w:rPr>
            </w:pPr>
            <w:r>
              <w:rPr>
                <w:rFonts w:eastAsia="Times New Roman" w:cstheme="majorHAnsi"/>
                <w:color w:val="000000"/>
                <w:sz w:val="20"/>
                <w:szCs w:val="20"/>
                <w:lang w:val="fr-FR"/>
              </w:rPr>
              <w:t xml:space="preserve">1.3) </w:t>
            </w:r>
            <w:r w:rsidR="00915041">
              <w:rPr>
                <w:rFonts w:eastAsia="Times New Roman" w:cstheme="majorHAnsi"/>
                <w:color w:val="000000"/>
                <w:sz w:val="20"/>
                <w:szCs w:val="20"/>
                <w:lang w:val="fr-FR"/>
              </w:rPr>
              <w:t>L</w:t>
            </w:r>
            <w:r>
              <w:rPr>
                <w:rFonts w:eastAsia="Times New Roman" w:cstheme="majorHAnsi"/>
                <w:color w:val="000000"/>
                <w:sz w:val="20"/>
                <w:szCs w:val="20"/>
                <w:lang w:val="fr-FR"/>
              </w:rPr>
              <w:t xml:space="preserve">a société civile travaille en collaboration avec différents secteurs et parties prenantes </w:t>
            </w:r>
          </w:p>
        </w:tc>
        <w:tc>
          <w:tcPr>
            <w:tcW w:w="5245" w:type="dxa"/>
          </w:tcPr>
          <w:p w14:paraId="6F15E1C1" w14:textId="2EBF033F" w:rsidR="00E65E29" w:rsidRPr="00BD3D80" w:rsidRDefault="00E65E29" w:rsidP="00B53EAE">
            <w:pPr>
              <w:pStyle w:val="ListParagraph"/>
              <w:numPr>
                <w:ilvl w:val="0"/>
                <w:numId w:val="28"/>
              </w:numPr>
              <w:rPr>
                <w:rFonts w:eastAsia="Times New Roman" w:cstheme="majorHAnsi"/>
                <w:sz w:val="20"/>
                <w:szCs w:val="20"/>
                <w:lang w:val="fr-FR"/>
              </w:rPr>
            </w:pPr>
            <w:bookmarkStart w:id="8" w:name="_Hlk504984299"/>
            <w:r>
              <w:rPr>
                <w:rFonts w:eastAsia="Times New Roman" w:cstheme="majorHAnsi"/>
                <w:sz w:val="20"/>
                <w:szCs w:val="20"/>
                <w:lang w:val="fr-FR"/>
              </w:rPr>
              <w:t xml:space="preserve">Nombre de régions/provinces/districts où </w:t>
            </w:r>
            <w:r w:rsidR="00915041">
              <w:rPr>
                <w:rFonts w:eastAsia="Times New Roman" w:cstheme="majorHAnsi"/>
                <w:sz w:val="20"/>
                <w:szCs w:val="20"/>
                <w:lang w:val="fr-FR"/>
              </w:rPr>
              <w:t>les ASC</w:t>
            </w:r>
            <w:r>
              <w:rPr>
                <w:rFonts w:eastAsia="Times New Roman" w:cstheme="majorHAnsi"/>
                <w:sz w:val="20"/>
                <w:szCs w:val="20"/>
                <w:lang w:val="fr-FR"/>
              </w:rPr>
              <w:t xml:space="preserve"> fonctionne</w:t>
            </w:r>
            <w:r w:rsidR="00915041">
              <w:rPr>
                <w:rFonts w:eastAsia="Times New Roman" w:cstheme="majorHAnsi"/>
                <w:sz w:val="20"/>
                <w:szCs w:val="20"/>
                <w:lang w:val="fr-FR"/>
              </w:rPr>
              <w:t>nt</w:t>
            </w:r>
            <w:r>
              <w:rPr>
                <w:rFonts w:eastAsia="Times New Roman" w:cstheme="majorHAnsi"/>
                <w:sz w:val="20"/>
                <w:szCs w:val="20"/>
                <w:lang w:val="fr-FR"/>
              </w:rPr>
              <w:t xml:space="preserve"> de manière coordonnée et multisectorielle (par exemple, présence d</w:t>
            </w:r>
            <w:r w:rsidR="002C54BD">
              <w:rPr>
                <w:rFonts w:eastAsia="Times New Roman" w:cstheme="majorHAnsi"/>
                <w:sz w:val="20"/>
                <w:szCs w:val="20"/>
                <w:lang w:val="fr-FR"/>
              </w:rPr>
              <w:t>’</w:t>
            </w:r>
            <w:r>
              <w:rPr>
                <w:rFonts w:eastAsia="Times New Roman" w:cstheme="majorHAnsi"/>
                <w:sz w:val="20"/>
                <w:szCs w:val="20"/>
                <w:lang w:val="fr-FR"/>
              </w:rPr>
              <w:t>un plan de travail commun, d</w:t>
            </w:r>
            <w:r w:rsidR="002C54BD">
              <w:rPr>
                <w:rFonts w:eastAsia="Times New Roman" w:cstheme="majorHAnsi"/>
                <w:sz w:val="20"/>
                <w:szCs w:val="20"/>
                <w:lang w:val="fr-FR"/>
              </w:rPr>
              <w:t>’</w:t>
            </w:r>
            <w:r>
              <w:rPr>
                <w:rFonts w:eastAsia="Times New Roman" w:cstheme="majorHAnsi"/>
                <w:sz w:val="20"/>
                <w:szCs w:val="20"/>
                <w:lang w:val="fr-FR"/>
              </w:rPr>
              <w:t>initiatives conjointes)</w:t>
            </w:r>
          </w:p>
          <w:p w14:paraId="2E5D0C8B" w14:textId="495394CD" w:rsidR="00E65E29" w:rsidRPr="00BD3D80" w:rsidRDefault="00E65E29" w:rsidP="00B53EAE">
            <w:pPr>
              <w:pStyle w:val="ListParagraph"/>
              <w:numPr>
                <w:ilvl w:val="0"/>
                <w:numId w:val="28"/>
              </w:numPr>
              <w:rPr>
                <w:rFonts w:eastAsia="Times New Roman" w:cstheme="majorHAnsi"/>
                <w:sz w:val="20"/>
                <w:szCs w:val="20"/>
                <w:lang w:val="fr-FR"/>
              </w:rPr>
            </w:pPr>
            <w:r>
              <w:rPr>
                <w:rFonts w:eastAsia="Times New Roman" w:cstheme="majorHAnsi"/>
                <w:sz w:val="20"/>
                <w:szCs w:val="20"/>
                <w:lang w:val="fr-FR"/>
              </w:rPr>
              <w:t xml:space="preserve">Nombre de plateformes </w:t>
            </w:r>
            <w:proofErr w:type="spellStart"/>
            <w:r>
              <w:rPr>
                <w:rFonts w:eastAsia="Times New Roman" w:cstheme="majorHAnsi"/>
                <w:sz w:val="20"/>
                <w:szCs w:val="20"/>
                <w:lang w:val="fr-FR"/>
              </w:rPr>
              <w:t>multiacteurs</w:t>
            </w:r>
            <w:proofErr w:type="spellEnd"/>
            <w:r>
              <w:rPr>
                <w:rFonts w:eastAsia="Times New Roman" w:cstheme="majorHAnsi"/>
                <w:sz w:val="20"/>
                <w:szCs w:val="20"/>
                <w:lang w:val="fr-FR"/>
              </w:rPr>
              <w:t xml:space="preserve"> au niveau national et infranational</w:t>
            </w:r>
            <w:r w:rsidR="00915041">
              <w:rPr>
                <w:rFonts w:eastAsia="Times New Roman" w:cstheme="majorHAnsi"/>
                <w:sz w:val="20"/>
                <w:szCs w:val="20"/>
                <w:lang w:val="fr-FR"/>
              </w:rPr>
              <w:t xml:space="preserve"> auxquels l’ASC participe </w:t>
            </w:r>
            <w:r>
              <w:rPr>
                <w:rFonts w:eastAsia="Times New Roman" w:cstheme="majorHAnsi"/>
                <w:sz w:val="20"/>
                <w:szCs w:val="20"/>
                <w:lang w:val="fr-FR"/>
              </w:rPr>
              <w:t>active</w:t>
            </w:r>
            <w:r w:rsidR="00915041">
              <w:rPr>
                <w:rFonts w:eastAsia="Times New Roman" w:cstheme="majorHAnsi"/>
                <w:sz w:val="20"/>
                <w:szCs w:val="20"/>
                <w:lang w:val="fr-FR"/>
              </w:rPr>
              <w:t>ment</w:t>
            </w:r>
          </w:p>
          <w:p w14:paraId="579A6B66" w14:textId="5B45A2A5" w:rsidR="00E65E29" w:rsidRPr="00BD3D80" w:rsidRDefault="00C26CAB" w:rsidP="00B53EAE">
            <w:pPr>
              <w:pStyle w:val="ListParagraph"/>
              <w:numPr>
                <w:ilvl w:val="0"/>
                <w:numId w:val="28"/>
              </w:numPr>
              <w:rPr>
                <w:rFonts w:eastAsia="Times New Roman" w:cstheme="majorHAnsi"/>
                <w:sz w:val="20"/>
                <w:szCs w:val="20"/>
                <w:lang w:val="fr-FR"/>
              </w:rPr>
            </w:pPr>
            <w:r>
              <w:rPr>
                <w:rFonts w:eastAsia="Times New Roman" w:cstheme="majorHAnsi"/>
                <w:sz w:val="20"/>
                <w:szCs w:val="20"/>
                <w:lang w:val="fr-FR"/>
              </w:rPr>
              <w:t xml:space="preserve">Pourcentage </w:t>
            </w:r>
            <w:r w:rsidR="00E65E29">
              <w:rPr>
                <w:rFonts w:eastAsia="Times New Roman" w:cstheme="majorHAnsi"/>
                <w:sz w:val="20"/>
                <w:szCs w:val="20"/>
                <w:lang w:val="fr-FR"/>
              </w:rPr>
              <w:t>d</w:t>
            </w:r>
            <w:r w:rsidR="002C54BD">
              <w:rPr>
                <w:rFonts w:eastAsia="Times New Roman" w:cstheme="majorHAnsi"/>
                <w:sz w:val="20"/>
                <w:szCs w:val="20"/>
                <w:lang w:val="fr-FR"/>
              </w:rPr>
              <w:t>’</w:t>
            </w:r>
            <w:r w:rsidR="00E65E29">
              <w:rPr>
                <w:rFonts w:eastAsia="Times New Roman" w:cstheme="majorHAnsi"/>
                <w:sz w:val="20"/>
                <w:szCs w:val="20"/>
                <w:lang w:val="fr-FR"/>
              </w:rPr>
              <w:t>augmentation de la quantité/qualité de l</w:t>
            </w:r>
            <w:r w:rsidR="002C54BD">
              <w:rPr>
                <w:rFonts w:eastAsia="Times New Roman" w:cstheme="majorHAnsi"/>
                <w:sz w:val="20"/>
                <w:szCs w:val="20"/>
                <w:lang w:val="fr-FR"/>
              </w:rPr>
              <w:t>’</w:t>
            </w:r>
            <w:r w:rsidR="00E65E29">
              <w:rPr>
                <w:rFonts w:eastAsia="Times New Roman" w:cstheme="majorHAnsi"/>
                <w:sz w:val="20"/>
                <w:szCs w:val="20"/>
                <w:lang w:val="fr-FR"/>
              </w:rPr>
              <w:t xml:space="preserve">aide apportée aux bénéficiaires grâce à une coordination efficace de la société civile et des plateformes </w:t>
            </w:r>
            <w:proofErr w:type="spellStart"/>
            <w:r w:rsidR="00E65E29">
              <w:rPr>
                <w:rFonts w:eastAsia="Times New Roman" w:cstheme="majorHAnsi"/>
                <w:sz w:val="20"/>
                <w:szCs w:val="20"/>
                <w:lang w:val="fr-FR"/>
              </w:rPr>
              <w:t>multiacteurs</w:t>
            </w:r>
            <w:proofErr w:type="spellEnd"/>
            <w:r w:rsidR="00E65E29">
              <w:rPr>
                <w:rFonts w:eastAsia="Times New Roman" w:cstheme="majorHAnsi"/>
                <w:sz w:val="20"/>
                <w:szCs w:val="20"/>
                <w:lang w:val="fr-FR"/>
              </w:rPr>
              <w:t xml:space="preserve"> au niveau national/infranational </w:t>
            </w:r>
            <w:r w:rsidR="00E65E29">
              <w:rPr>
                <w:rFonts w:eastAsia="Times New Roman" w:cstheme="majorHAnsi"/>
                <w:color w:val="70AD47" w:themeColor="accent6"/>
                <w:sz w:val="20"/>
                <w:szCs w:val="20"/>
                <w:lang w:val="fr-FR"/>
              </w:rPr>
              <w:t>(ventilation par sexe)</w:t>
            </w:r>
            <w:r w:rsidR="00E65E29">
              <w:rPr>
                <w:rFonts w:eastAsia="Times New Roman" w:cstheme="majorHAnsi"/>
                <w:sz w:val="20"/>
                <w:szCs w:val="20"/>
                <w:lang w:val="fr-FR"/>
              </w:rPr>
              <w:t xml:space="preserve">. </w:t>
            </w:r>
            <w:r w:rsidR="00E65E29">
              <w:rPr>
                <w:rFonts w:eastAsia="Times New Roman" w:cstheme="majorHAnsi"/>
                <w:i/>
                <w:iCs/>
                <w:sz w:val="20"/>
                <w:szCs w:val="20"/>
                <w:lang w:val="fr-FR"/>
              </w:rPr>
              <w:t xml:space="preserve">(P. ex., augmentation du nombre de </w:t>
            </w:r>
            <w:r w:rsidR="0029680E">
              <w:rPr>
                <w:rFonts w:eastAsia="Times New Roman" w:cstheme="majorHAnsi"/>
                <w:i/>
                <w:iCs/>
                <w:sz w:val="20"/>
                <w:szCs w:val="20"/>
                <w:lang w:val="fr-FR"/>
              </w:rPr>
              <w:t xml:space="preserve">personnes </w:t>
            </w:r>
            <w:r w:rsidR="00E65E29">
              <w:rPr>
                <w:rFonts w:eastAsia="Times New Roman" w:cstheme="majorHAnsi"/>
                <w:i/>
                <w:iCs/>
                <w:sz w:val="20"/>
                <w:szCs w:val="20"/>
                <w:lang w:val="fr-FR"/>
              </w:rPr>
              <w:t xml:space="preserve">qui ont bénéficié du programme WASH grâce à la planification stratégique de plateformes </w:t>
            </w:r>
            <w:proofErr w:type="spellStart"/>
            <w:r w:rsidR="00E65E29">
              <w:rPr>
                <w:rFonts w:eastAsia="Times New Roman" w:cstheme="majorHAnsi"/>
                <w:i/>
                <w:iCs/>
                <w:sz w:val="20"/>
                <w:szCs w:val="20"/>
                <w:lang w:val="fr-FR"/>
              </w:rPr>
              <w:t>multiacteurs</w:t>
            </w:r>
            <w:proofErr w:type="spellEnd"/>
            <w:r w:rsidR="00E65E29">
              <w:rPr>
                <w:rFonts w:eastAsia="Times New Roman" w:cstheme="majorHAnsi"/>
                <w:i/>
                <w:iCs/>
                <w:sz w:val="20"/>
                <w:szCs w:val="20"/>
                <w:lang w:val="fr-FR"/>
              </w:rPr>
              <w:t>)</w:t>
            </w:r>
          </w:p>
          <w:bookmarkEnd w:id="8"/>
          <w:p w14:paraId="43B559D5" w14:textId="7FC636D6" w:rsidR="00CF72FE" w:rsidRPr="00BD3D80" w:rsidRDefault="00B97680" w:rsidP="00B53EAE">
            <w:pPr>
              <w:pStyle w:val="ListParagraph"/>
              <w:numPr>
                <w:ilvl w:val="0"/>
                <w:numId w:val="28"/>
              </w:numPr>
              <w:rPr>
                <w:rFonts w:eastAsia="Times New Roman" w:cstheme="majorHAnsi"/>
                <w:sz w:val="20"/>
                <w:szCs w:val="20"/>
                <w:lang w:val="fr-FR"/>
              </w:rPr>
            </w:pPr>
            <w:r>
              <w:rPr>
                <w:rFonts w:eastAsia="Times New Roman" w:cstheme="majorHAnsi"/>
                <w:sz w:val="20"/>
                <w:szCs w:val="20"/>
                <w:lang w:val="fr-FR"/>
              </w:rPr>
              <w:t xml:space="preserve">Nombre de parties prenantes systématiquement </w:t>
            </w:r>
            <w:r w:rsidR="006D73D9">
              <w:rPr>
                <w:rFonts w:eastAsia="Times New Roman" w:cstheme="majorHAnsi"/>
                <w:sz w:val="20"/>
                <w:szCs w:val="20"/>
                <w:lang w:val="fr-FR"/>
              </w:rPr>
              <w:t>invitées par la société civile à participer à des</w:t>
            </w:r>
            <w:r>
              <w:rPr>
                <w:rFonts w:eastAsia="Times New Roman" w:cstheme="majorHAnsi"/>
                <w:sz w:val="20"/>
                <w:szCs w:val="20"/>
                <w:lang w:val="fr-FR"/>
              </w:rPr>
              <w:t xml:space="preserve"> activités de planification et d</w:t>
            </w:r>
            <w:r w:rsidR="002C54BD">
              <w:rPr>
                <w:rFonts w:eastAsia="Times New Roman" w:cstheme="majorHAnsi"/>
                <w:sz w:val="20"/>
                <w:szCs w:val="20"/>
                <w:lang w:val="fr-FR"/>
              </w:rPr>
              <w:t>’</w:t>
            </w:r>
            <w:r>
              <w:rPr>
                <w:rFonts w:eastAsia="Times New Roman" w:cstheme="majorHAnsi"/>
                <w:sz w:val="20"/>
                <w:szCs w:val="20"/>
                <w:lang w:val="fr-FR"/>
              </w:rPr>
              <w:t xml:space="preserve">examen, notamment les autorités, les chefs religieux et culturels, les Nations </w:t>
            </w:r>
            <w:r w:rsidR="008A4F7F">
              <w:rPr>
                <w:rFonts w:eastAsia="Times New Roman" w:cstheme="majorHAnsi"/>
                <w:sz w:val="20"/>
                <w:szCs w:val="20"/>
                <w:lang w:val="fr-FR"/>
              </w:rPr>
              <w:t>Unies</w:t>
            </w:r>
            <w:r>
              <w:rPr>
                <w:rFonts w:eastAsia="Times New Roman" w:cstheme="majorHAnsi"/>
                <w:sz w:val="20"/>
                <w:szCs w:val="20"/>
                <w:lang w:val="fr-FR"/>
              </w:rPr>
              <w:t>, le secteur privé, les médias, etc</w:t>
            </w:r>
            <w:r w:rsidR="006D73D9">
              <w:rPr>
                <w:rFonts w:eastAsia="Times New Roman" w:cstheme="majorHAnsi"/>
                <w:sz w:val="20"/>
                <w:szCs w:val="20"/>
                <w:lang w:val="fr-FR"/>
              </w:rPr>
              <w:t>. dans tous les secteurs</w:t>
            </w:r>
            <w:r>
              <w:rPr>
                <w:rFonts w:eastAsia="Times New Roman" w:cstheme="majorHAnsi"/>
                <w:sz w:val="20"/>
                <w:szCs w:val="20"/>
                <w:lang w:val="fr-FR"/>
              </w:rPr>
              <w:t xml:space="preserve"> </w:t>
            </w:r>
            <w:r>
              <w:rPr>
                <w:rFonts w:eastAsia="Times New Roman" w:cstheme="majorHAnsi"/>
                <w:color w:val="70AD47" w:themeColor="accent6"/>
                <w:sz w:val="20"/>
                <w:szCs w:val="20"/>
                <w:lang w:val="fr-FR"/>
              </w:rPr>
              <w:t xml:space="preserve">(ventilation </w:t>
            </w:r>
            <w:r w:rsidR="005F1481">
              <w:rPr>
                <w:rFonts w:eastAsia="Times New Roman" w:cstheme="majorHAnsi"/>
                <w:color w:val="70AD47" w:themeColor="accent6"/>
                <w:sz w:val="20"/>
                <w:szCs w:val="20"/>
                <w:lang w:val="fr-FR"/>
              </w:rPr>
              <w:t>par</w:t>
            </w:r>
            <w:r>
              <w:rPr>
                <w:rFonts w:eastAsia="Times New Roman" w:cstheme="majorHAnsi"/>
                <w:color w:val="70AD47" w:themeColor="accent6"/>
                <w:sz w:val="20"/>
                <w:szCs w:val="20"/>
                <w:lang w:val="fr-FR"/>
              </w:rPr>
              <w:t xml:space="preserve"> sexe)</w:t>
            </w:r>
          </w:p>
        </w:tc>
      </w:tr>
      <w:tr w:rsidR="00CF72FE" w:rsidRPr="00880085" w14:paraId="3E690D38" w14:textId="77777777" w:rsidTr="00384938">
        <w:trPr>
          <w:trHeight w:val="841"/>
        </w:trPr>
        <w:tc>
          <w:tcPr>
            <w:tcW w:w="3964" w:type="dxa"/>
          </w:tcPr>
          <w:p w14:paraId="0FF14793" w14:textId="1604FFE5" w:rsidR="00CF72FE" w:rsidRPr="00BD3D80" w:rsidRDefault="00CF72FE" w:rsidP="00CE0FBA">
            <w:pPr>
              <w:rPr>
                <w:rFonts w:eastAsia="Times New Roman" w:cstheme="majorHAnsi"/>
                <w:color w:val="000000"/>
                <w:sz w:val="20"/>
                <w:szCs w:val="20"/>
                <w:lang w:val="fr-FR"/>
              </w:rPr>
            </w:pPr>
            <w:bookmarkStart w:id="9" w:name="_Hlk509053659"/>
            <w:r>
              <w:rPr>
                <w:rFonts w:eastAsia="Times New Roman" w:cstheme="majorHAnsi"/>
                <w:color w:val="000000"/>
                <w:sz w:val="20"/>
                <w:szCs w:val="20"/>
                <w:lang w:val="fr-FR"/>
              </w:rPr>
              <w:lastRenderedPageBreak/>
              <w:t xml:space="preserve">1.4) La société civile </w:t>
            </w:r>
            <w:r w:rsidR="0000772E">
              <w:rPr>
                <w:rFonts w:eastAsia="Times New Roman" w:cstheme="majorHAnsi"/>
                <w:color w:val="000000"/>
                <w:sz w:val="20"/>
                <w:szCs w:val="20"/>
                <w:lang w:val="fr-FR"/>
              </w:rPr>
              <w:t>est</w:t>
            </w:r>
            <w:r>
              <w:rPr>
                <w:rFonts w:eastAsia="Times New Roman" w:cstheme="majorHAnsi"/>
                <w:color w:val="000000"/>
                <w:sz w:val="20"/>
                <w:szCs w:val="20"/>
                <w:lang w:val="fr-FR"/>
              </w:rPr>
              <w:t xml:space="preserve"> considérée comme un acteur clé dans les processus de planification nationaux et façonne des </w:t>
            </w:r>
            <w:r w:rsidR="0029661A">
              <w:rPr>
                <w:rFonts w:eastAsia="Times New Roman" w:cstheme="majorHAnsi"/>
                <w:color w:val="000000"/>
                <w:sz w:val="20"/>
                <w:szCs w:val="20"/>
                <w:lang w:val="fr-FR"/>
              </w:rPr>
              <w:t xml:space="preserve">plans </w:t>
            </w:r>
            <w:r w:rsidR="007063B3">
              <w:rPr>
                <w:rFonts w:eastAsia="Times New Roman" w:cstheme="majorHAnsi"/>
                <w:color w:val="000000"/>
                <w:sz w:val="20"/>
                <w:szCs w:val="20"/>
                <w:lang w:val="fr-FR"/>
              </w:rPr>
              <w:t xml:space="preserve">nationaux </w:t>
            </w:r>
            <w:r w:rsidR="0029661A">
              <w:rPr>
                <w:rFonts w:eastAsia="Times New Roman" w:cstheme="majorHAnsi"/>
                <w:color w:val="000000"/>
                <w:sz w:val="20"/>
                <w:szCs w:val="20"/>
                <w:lang w:val="fr-FR"/>
              </w:rPr>
              <w:t>de nutrition</w:t>
            </w:r>
            <w:r>
              <w:rPr>
                <w:rFonts w:eastAsia="Times New Roman" w:cstheme="majorHAnsi"/>
                <w:color w:val="000000"/>
                <w:sz w:val="20"/>
                <w:szCs w:val="20"/>
                <w:lang w:val="fr-FR"/>
              </w:rPr>
              <w:t xml:space="preserve"> </w:t>
            </w:r>
          </w:p>
        </w:tc>
        <w:tc>
          <w:tcPr>
            <w:tcW w:w="5245" w:type="dxa"/>
          </w:tcPr>
          <w:p w14:paraId="36538D86" w14:textId="58D9A917" w:rsidR="00EC0AF4" w:rsidRPr="00BD3D80" w:rsidRDefault="00B97680" w:rsidP="00B53EAE">
            <w:pPr>
              <w:pStyle w:val="ListParagraph"/>
              <w:numPr>
                <w:ilvl w:val="0"/>
                <w:numId w:val="28"/>
              </w:numPr>
              <w:rPr>
                <w:rFonts w:eastAsia="Times New Roman" w:cstheme="majorHAnsi"/>
                <w:sz w:val="20"/>
                <w:szCs w:val="20"/>
                <w:lang w:val="fr-FR"/>
              </w:rPr>
            </w:pPr>
            <w:bookmarkStart w:id="10" w:name="_Hlk504984383"/>
            <w:r>
              <w:rPr>
                <w:rFonts w:eastAsia="Times New Roman" w:cstheme="majorHAnsi"/>
                <w:sz w:val="20"/>
                <w:szCs w:val="20"/>
                <w:lang w:val="fr-FR"/>
              </w:rPr>
              <w:t xml:space="preserve">Nombre de contributions/demandes/recommandations des ASC prises en compte dans les plans/politiques nationaux ou </w:t>
            </w:r>
            <w:r w:rsidR="007F51C4">
              <w:rPr>
                <w:rFonts w:eastAsia="Times New Roman" w:cstheme="majorHAnsi"/>
                <w:sz w:val="20"/>
                <w:szCs w:val="20"/>
                <w:lang w:val="fr-FR"/>
              </w:rPr>
              <w:t>infra</w:t>
            </w:r>
            <w:r>
              <w:rPr>
                <w:rFonts w:eastAsia="Times New Roman" w:cstheme="majorHAnsi"/>
                <w:sz w:val="20"/>
                <w:szCs w:val="20"/>
                <w:lang w:val="fr-FR"/>
              </w:rPr>
              <w:t>nationaux (par exemple, contributions techniques, recommandations et mises</w:t>
            </w:r>
            <w:r w:rsidR="007F51C4">
              <w:rPr>
                <w:rFonts w:eastAsia="Times New Roman" w:cstheme="majorHAnsi"/>
                <w:sz w:val="20"/>
                <w:szCs w:val="20"/>
                <w:lang w:val="fr-FR"/>
              </w:rPr>
              <w:t xml:space="preserve"> </w:t>
            </w:r>
            <w:r>
              <w:rPr>
                <w:rFonts w:eastAsia="Times New Roman" w:cstheme="majorHAnsi"/>
                <w:sz w:val="20"/>
                <w:szCs w:val="20"/>
                <w:lang w:val="fr-FR"/>
              </w:rPr>
              <w:t>en œuvre/applications correspondantes)</w:t>
            </w:r>
            <w:bookmarkEnd w:id="10"/>
          </w:p>
        </w:tc>
      </w:tr>
    </w:tbl>
    <w:p w14:paraId="2544403D" w14:textId="77777777" w:rsidR="001A3B0A" w:rsidRPr="00BD3D80" w:rsidRDefault="001A3B0A">
      <w:pPr>
        <w:rPr>
          <w:rFonts w:asciiTheme="majorHAnsi" w:eastAsiaTheme="majorEastAsia" w:hAnsiTheme="majorHAnsi" w:cstheme="majorBidi"/>
          <w:b/>
          <w:color w:val="FFC000" w:themeColor="accent4"/>
          <w:sz w:val="28"/>
          <w:szCs w:val="28"/>
          <w:lang w:val="fr-FR"/>
        </w:rPr>
      </w:pPr>
      <w:r>
        <w:rPr>
          <w:b/>
          <w:bCs/>
          <w:color w:val="FFC000" w:themeColor="accent4"/>
          <w:sz w:val="28"/>
          <w:szCs w:val="28"/>
          <w:lang w:val="fr-FR"/>
        </w:rPr>
        <w:br w:type="page"/>
      </w:r>
    </w:p>
    <w:p w14:paraId="5CBF3BFA" w14:textId="3EB22627" w:rsidR="005404AE" w:rsidRPr="001A3B0A" w:rsidRDefault="005404AE" w:rsidP="001A3B0A">
      <w:pPr>
        <w:pStyle w:val="Heading2"/>
        <w:rPr>
          <w:rFonts w:eastAsiaTheme="minorHAnsi"/>
          <w:b/>
          <w:color w:val="FFC000" w:themeColor="accent4"/>
          <w:sz w:val="28"/>
          <w:szCs w:val="28"/>
        </w:rPr>
      </w:pPr>
      <w:bookmarkStart w:id="11" w:name="_Toc37072345"/>
      <w:r>
        <w:rPr>
          <w:rFonts w:eastAsiaTheme="minorHAnsi"/>
          <w:b/>
          <w:bCs/>
          <w:color w:val="FFC000" w:themeColor="accent4"/>
          <w:sz w:val="28"/>
          <w:szCs w:val="28"/>
          <w:lang w:val="fr-FR"/>
        </w:rPr>
        <w:lastRenderedPageBreak/>
        <w:t>Produits</w:t>
      </w:r>
      <w:r w:rsidR="002C54BD">
        <w:rPr>
          <w:rFonts w:eastAsiaTheme="minorHAnsi"/>
          <w:b/>
          <w:bCs/>
          <w:color w:val="FFC000" w:themeColor="accent4"/>
          <w:sz w:val="28"/>
          <w:szCs w:val="28"/>
          <w:lang w:val="fr-FR"/>
        </w:rPr>
        <w:t> </w:t>
      </w:r>
      <w:r>
        <w:rPr>
          <w:rFonts w:eastAsiaTheme="minorHAnsi"/>
          <w:b/>
          <w:bCs/>
          <w:color w:val="FFC000" w:themeColor="accent4"/>
          <w:sz w:val="28"/>
          <w:szCs w:val="28"/>
          <w:lang w:val="fr-FR"/>
        </w:rPr>
        <w:t>1</w:t>
      </w:r>
      <w:bookmarkEnd w:id="11"/>
    </w:p>
    <w:tbl>
      <w:tblPr>
        <w:tblStyle w:val="TableGrid"/>
        <w:tblpPr w:leftFromText="180" w:rightFromText="180" w:vertAnchor="text" w:horzAnchor="page" w:tblpX="954" w:tblpY="319"/>
        <w:tblW w:w="10497" w:type="dxa"/>
        <w:tblLook w:val="04A0" w:firstRow="1" w:lastRow="0" w:firstColumn="1" w:lastColumn="0" w:noHBand="0" w:noVBand="1"/>
      </w:tblPr>
      <w:tblGrid>
        <w:gridCol w:w="473"/>
        <w:gridCol w:w="4200"/>
        <w:gridCol w:w="5811"/>
        <w:gridCol w:w="13"/>
      </w:tblGrid>
      <w:tr w:rsidR="005404AE" w:rsidRPr="00880085" w14:paraId="23839103" w14:textId="77777777" w:rsidTr="004147E9">
        <w:tc>
          <w:tcPr>
            <w:tcW w:w="10497" w:type="dxa"/>
            <w:gridSpan w:val="4"/>
          </w:tcPr>
          <w:p w14:paraId="2F6CCDBF" w14:textId="50938583" w:rsidR="005404AE" w:rsidRPr="00BD3D80" w:rsidRDefault="005404AE" w:rsidP="005E526B">
            <w:pPr>
              <w:rPr>
                <w:sz w:val="20"/>
                <w:szCs w:val="20"/>
                <w:lang w:val="fr-FR"/>
              </w:rPr>
            </w:pPr>
            <w:r>
              <w:rPr>
                <w:sz w:val="20"/>
                <w:szCs w:val="20"/>
                <w:lang w:val="fr-FR"/>
              </w:rPr>
              <w:t>Produits et indicateurs proposés pour le résultat</w:t>
            </w:r>
            <w:r w:rsidR="002C54BD">
              <w:rPr>
                <w:sz w:val="20"/>
                <w:szCs w:val="20"/>
                <w:lang w:val="fr-FR"/>
              </w:rPr>
              <w:t> </w:t>
            </w:r>
            <w:r>
              <w:rPr>
                <w:sz w:val="20"/>
                <w:szCs w:val="20"/>
                <w:lang w:val="fr-FR"/>
              </w:rPr>
              <w:t>1</w:t>
            </w:r>
          </w:p>
          <w:p w14:paraId="7C1DEFC0" w14:textId="11E687F5" w:rsidR="005404AE" w:rsidRPr="00BD3D80" w:rsidRDefault="001A3B0A" w:rsidP="005E526B">
            <w:pPr>
              <w:rPr>
                <w:b/>
                <w:sz w:val="20"/>
                <w:szCs w:val="20"/>
                <w:lang w:val="fr-FR"/>
              </w:rPr>
            </w:pPr>
            <w:r>
              <w:rPr>
                <w:rFonts w:eastAsia="Times New Roman" w:cstheme="majorHAnsi"/>
                <w:b/>
                <w:bCs/>
                <w:sz w:val="20"/>
                <w:szCs w:val="20"/>
                <w:lang w:val="fr-FR"/>
              </w:rPr>
              <w:t>«</w:t>
            </w:r>
            <w:r w:rsidR="002C54BD">
              <w:rPr>
                <w:rFonts w:eastAsia="Times New Roman" w:cstheme="majorHAnsi"/>
                <w:b/>
                <w:bCs/>
                <w:sz w:val="20"/>
                <w:szCs w:val="20"/>
                <w:lang w:val="fr-FR"/>
              </w:rPr>
              <w:t> </w:t>
            </w:r>
            <w:r>
              <w:rPr>
                <w:rFonts w:eastAsia="Times New Roman" w:cstheme="majorHAnsi"/>
                <w:b/>
                <w:bCs/>
                <w:sz w:val="20"/>
                <w:szCs w:val="20"/>
                <w:lang w:val="fr-FR"/>
              </w:rPr>
              <w:t xml:space="preserve">Les pays SUN ont mis en place des </w:t>
            </w:r>
            <w:r w:rsidR="0029661A">
              <w:rPr>
                <w:rFonts w:eastAsia="Times New Roman" w:cstheme="majorHAnsi"/>
                <w:b/>
                <w:bCs/>
                <w:sz w:val="20"/>
                <w:szCs w:val="20"/>
                <w:lang w:val="fr-FR"/>
              </w:rPr>
              <w:t>plans de nutrition</w:t>
            </w:r>
            <w:r>
              <w:rPr>
                <w:rFonts w:eastAsia="Times New Roman" w:cstheme="majorHAnsi"/>
                <w:b/>
                <w:bCs/>
                <w:sz w:val="20"/>
                <w:szCs w:val="20"/>
                <w:lang w:val="fr-FR"/>
              </w:rPr>
              <w:t xml:space="preserve"> SMART, chiffrés, </w:t>
            </w:r>
            <w:proofErr w:type="spellStart"/>
            <w:r w:rsidR="009A4E5F">
              <w:rPr>
                <w:rFonts w:eastAsia="Times New Roman" w:cstheme="majorHAnsi"/>
                <w:b/>
                <w:bCs/>
                <w:sz w:val="20"/>
                <w:szCs w:val="20"/>
                <w:lang w:val="fr-FR"/>
              </w:rPr>
              <w:t>multiacteurs</w:t>
            </w:r>
            <w:proofErr w:type="spellEnd"/>
            <w:r w:rsidR="009A4E5F">
              <w:rPr>
                <w:rFonts w:eastAsia="Times New Roman" w:cstheme="majorHAnsi"/>
                <w:b/>
                <w:bCs/>
                <w:sz w:val="20"/>
                <w:szCs w:val="20"/>
                <w:lang w:val="fr-FR"/>
              </w:rPr>
              <w:t xml:space="preserve"> </w:t>
            </w:r>
            <w:r>
              <w:rPr>
                <w:rFonts w:eastAsia="Times New Roman" w:cstheme="majorHAnsi"/>
                <w:b/>
                <w:bCs/>
                <w:sz w:val="20"/>
                <w:szCs w:val="20"/>
                <w:lang w:val="fr-FR"/>
              </w:rPr>
              <w:t xml:space="preserve">et </w:t>
            </w:r>
            <w:r w:rsidR="00B96097">
              <w:rPr>
                <w:rFonts w:eastAsia="Times New Roman" w:cstheme="majorHAnsi"/>
                <w:b/>
                <w:bCs/>
                <w:sz w:val="20"/>
                <w:szCs w:val="20"/>
                <w:lang w:val="fr-FR"/>
              </w:rPr>
              <w:t>multisectoriels</w:t>
            </w:r>
            <w:r>
              <w:rPr>
                <w:rFonts w:eastAsia="Times New Roman" w:cstheme="majorHAnsi"/>
                <w:b/>
                <w:bCs/>
                <w:sz w:val="20"/>
                <w:szCs w:val="20"/>
                <w:lang w:val="fr-FR"/>
              </w:rPr>
              <w:t>, y compris dans les pays lourdement touchés par la malnutrition et frappés par des conflits</w:t>
            </w:r>
            <w:r w:rsidR="002C54BD">
              <w:rPr>
                <w:rFonts w:eastAsia="Times New Roman" w:cstheme="majorHAnsi"/>
                <w:b/>
                <w:bCs/>
                <w:sz w:val="20"/>
                <w:szCs w:val="20"/>
                <w:lang w:val="fr-FR"/>
              </w:rPr>
              <w:t> </w:t>
            </w:r>
            <w:r>
              <w:rPr>
                <w:rFonts w:eastAsia="Times New Roman" w:cstheme="majorHAnsi"/>
                <w:b/>
                <w:bCs/>
                <w:sz w:val="20"/>
                <w:szCs w:val="20"/>
                <w:lang w:val="fr-FR"/>
              </w:rPr>
              <w:t>»</w:t>
            </w:r>
          </w:p>
        </w:tc>
      </w:tr>
      <w:tr w:rsidR="005404AE" w:rsidRPr="00880085" w14:paraId="4E817CFD" w14:textId="77777777" w:rsidTr="004147E9">
        <w:trPr>
          <w:gridAfter w:val="1"/>
          <w:wAfter w:w="13" w:type="dxa"/>
        </w:trPr>
        <w:tc>
          <w:tcPr>
            <w:tcW w:w="473" w:type="dxa"/>
          </w:tcPr>
          <w:p w14:paraId="095EE819" w14:textId="77777777" w:rsidR="005404AE" w:rsidRPr="00BD3D80" w:rsidRDefault="005404AE" w:rsidP="005E526B">
            <w:pPr>
              <w:rPr>
                <w:sz w:val="20"/>
                <w:szCs w:val="20"/>
                <w:lang w:val="fr-FR"/>
              </w:rPr>
            </w:pPr>
          </w:p>
        </w:tc>
        <w:tc>
          <w:tcPr>
            <w:tcW w:w="4200" w:type="dxa"/>
          </w:tcPr>
          <w:p w14:paraId="18FACFEA" w14:textId="77777777" w:rsidR="005404AE" w:rsidRPr="0070233E" w:rsidRDefault="005404AE" w:rsidP="005E526B">
            <w:pPr>
              <w:rPr>
                <w:b/>
                <w:sz w:val="20"/>
                <w:szCs w:val="20"/>
              </w:rPr>
            </w:pPr>
            <w:r>
              <w:rPr>
                <w:b/>
                <w:bCs/>
                <w:sz w:val="20"/>
                <w:szCs w:val="20"/>
                <w:lang w:val="fr-FR"/>
              </w:rPr>
              <w:t>Produits</w:t>
            </w:r>
          </w:p>
        </w:tc>
        <w:tc>
          <w:tcPr>
            <w:tcW w:w="5811" w:type="dxa"/>
          </w:tcPr>
          <w:p w14:paraId="69070CC3" w14:textId="30BCA8BD" w:rsidR="005404AE" w:rsidRPr="00BD3D80" w:rsidRDefault="005404AE" w:rsidP="005E526B">
            <w:pPr>
              <w:rPr>
                <w:b/>
                <w:sz w:val="20"/>
                <w:szCs w:val="20"/>
                <w:lang w:val="fr-FR"/>
              </w:rPr>
            </w:pPr>
            <w:r>
              <w:rPr>
                <w:b/>
                <w:bCs/>
                <w:sz w:val="20"/>
                <w:szCs w:val="20"/>
                <w:lang w:val="fr-FR"/>
              </w:rPr>
              <w:t>Indicateurs suggérés (lorsque plusieurs choix sont possibles, veuillez n</w:t>
            </w:r>
            <w:r w:rsidR="002C54BD">
              <w:rPr>
                <w:b/>
                <w:bCs/>
                <w:sz w:val="20"/>
                <w:szCs w:val="20"/>
                <w:lang w:val="fr-FR"/>
              </w:rPr>
              <w:t>’</w:t>
            </w:r>
            <w:r>
              <w:rPr>
                <w:b/>
                <w:bCs/>
                <w:sz w:val="20"/>
                <w:szCs w:val="20"/>
                <w:lang w:val="fr-FR"/>
              </w:rPr>
              <w:t>en sélectionner qu</w:t>
            </w:r>
            <w:r w:rsidR="002C54BD">
              <w:rPr>
                <w:b/>
                <w:bCs/>
                <w:sz w:val="20"/>
                <w:szCs w:val="20"/>
                <w:lang w:val="fr-FR"/>
              </w:rPr>
              <w:t>’</w:t>
            </w:r>
            <w:r>
              <w:rPr>
                <w:b/>
                <w:bCs/>
                <w:sz w:val="20"/>
                <w:szCs w:val="20"/>
                <w:lang w:val="fr-FR"/>
              </w:rPr>
              <w:t>un seul)</w:t>
            </w:r>
          </w:p>
        </w:tc>
      </w:tr>
      <w:tr w:rsidR="005404AE" w:rsidRPr="00880085" w14:paraId="7D4594BC" w14:textId="77777777" w:rsidTr="004147E9">
        <w:trPr>
          <w:gridAfter w:val="1"/>
          <w:wAfter w:w="13" w:type="dxa"/>
        </w:trPr>
        <w:tc>
          <w:tcPr>
            <w:tcW w:w="473" w:type="dxa"/>
            <w:vMerge w:val="restart"/>
            <w:textDirection w:val="btLr"/>
          </w:tcPr>
          <w:p w14:paraId="58A4E22E" w14:textId="2F98107D" w:rsidR="005404AE" w:rsidRPr="0070233E" w:rsidRDefault="005404AE" w:rsidP="005E526B">
            <w:pPr>
              <w:ind w:left="113" w:right="113"/>
              <w:jc w:val="center"/>
              <w:rPr>
                <w:rFonts w:eastAsia="Times New Roman" w:cstheme="majorHAnsi"/>
                <w:b/>
                <w:sz w:val="20"/>
                <w:szCs w:val="20"/>
              </w:rPr>
            </w:pPr>
            <w:r>
              <w:rPr>
                <w:rFonts w:eastAsia="Times New Roman" w:cstheme="majorHAnsi"/>
                <w:b/>
                <w:bCs/>
                <w:sz w:val="20"/>
                <w:szCs w:val="20"/>
                <w:lang w:val="fr-FR"/>
              </w:rPr>
              <w:t>Résultat intermédiaire</w:t>
            </w:r>
            <w:r w:rsidR="002C54BD">
              <w:rPr>
                <w:rFonts w:eastAsia="Times New Roman" w:cstheme="majorHAnsi"/>
                <w:b/>
                <w:bCs/>
                <w:sz w:val="20"/>
                <w:szCs w:val="20"/>
                <w:lang w:val="fr-FR"/>
              </w:rPr>
              <w:t> </w:t>
            </w:r>
            <w:r>
              <w:rPr>
                <w:rFonts w:eastAsia="Times New Roman" w:cstheme="majorHAnsi"/>
                <w:b/>
                <w:bCs/>
                <w:sz w:val="20"/>
                <w:szCs w:val="20"/>
                <w:lang w:val="fr-FR"/>
              </w:rPr>
              <w:t>1.1</w:t>
            </w:r>
          </w:p>
        </w:tc>
        <w:tc>
          <w:tcPr>
            <w:tcW w:w="4200" w:type="dxa"/>
          </w:tcPr>
          <w:p w14:paraId="4885EA9C" w14:textId="360D8F01" w:rsidR="005404AE" w:rsidRPr="00BD3D80" w:rsidRDefault="0070233E" w:rsidP="005E526B">
            <w:pPr>
              <w:rPr>
                <w:rFonts w:eastAsia="Times New Roman" w:cstheme="majorHAnsi"/>
                <w:sz w:val="20"/>
                <w:szCs w:val="20"/>
                <w:lang w:val="fr-FR"/>
              </w:rPr>
            </w:pPr>
            <w:r>
              <w:rPr>
                <w:sz w:val="20"/>
                <w:szCs w:val="20"/>
                <w:lang w:val="fr-FR"/>
              </w:rPr>
              <w:t xml:space="preserve">1.1.1 Les </w:t>
            </w:r>
            <w:r w:rsidR="00154886">
              <w:rPr>
                <w:sz w:val="20"/>
                <w:szCs w:val="20"/>
                <w:lang w:val="fr-FR"/>
              </w:rPr>
              <w:t>Alliances de la société civile (ASC) donnent aux O</w:t>
            </w:r>
            <w:r>
              <w:rPr>
                <w:sz w:val="20"/>
                <w:szCs w:val="20"/>
                <w:lang w:val="fr-FR"/>
              </w:rPr>
              <w:t xml:space="preserve">rganisations de la société civile (OSC) locales et marginalisées, en particulier celles qui </w:t>
            </w:r>
            <w:r w:rsidR="00154886">
              <w:rPr>
                <w:sz w:val="20"/>
                <w:szCs w:val="20"/>
                <w:lang w:val="fr-FR"/>
              </w:rPr>
              <w:t>sont</w:t>
            </w:r>
            <w:r>
              <w:rPr>
                <w:sz w:val="20"/>
                <w:szCs w:val="20"/>
                <w:lang w:val="fr-FR"/>
              </w:rPr>
              <w:t xml:space="preserve"> décentralisé</w:t>
            </w:r>
            <w:r w:rsidR="00154886">
              <w:rPr>
                <w:sz w:val="20"/>
                <w:szCs w:val="20"/>
                <w:lang w:val="fr-FR"/>
              </w:rPr>
              <w:t>es,</w:t>
            </w:r>
            <w:r>
              <w:rPr>
                <w:sz w:val="20"/>
                <w:szCs w:val="20"/>
                <w:lang w:val="fr-FR"/>
              </w:rPr>
              <w:t xml:space="preserve"> </w:t>
            </w:r>
            <w:r w:rsidR="00154886">
              <w:rPr>
                <w:sz w:val="20"/>
                <w:szCs w:val="20"/>
                <w:lang w:val="fr-FR"/>
              </w:rPr>
              <w:t xml:space="preserve">les moyens de contribuer </w:t>
            </w:r>
            <w:r>
              <w:rPr>
                <w:sz w:val="20"/>
                <w:szCs w:val="20"/>
                <w:lang w:val="fr-FR"/>
              </w:rPr>
              <w:t xml:space="preserve">aux plans et processus nationaux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 xml:space="preserve"> </w:t>
            </w:r>
            <w:r w:rsidR="00154886">
              <w:rPr>
                <w:color w:val="ED7D31" w:themeColor="accent2"/>
                <w:sz w:val="20"/>
                <w:szCs w:val="20"/>
                <w:lang w:val="fr-FR"/>
              </w:rPr>
              <w:t>P</w:t>
            </w:r>
            <w:r>
              <w:rPr>
                <w:color w:val="ED7D31" w:themeColor="accent2"/>
                <w:sz w:val="20"/>
                <w:szCs w:val="20"/>
                <w:lang w:val="fr-FR"/>
              </w:rPr>
              <w:t>roduit</w:t>
            </w:r>
            <w:r w:rsidR="002C54BD">
              <w:rPr>
                <w:color w:val="ED7D31" w:themeColor="accent2"/>
                <w:sz w:val="20"/>
                <w:szCs w:val="20"/>
                <w:lang w:val="fr-FR"/>
              </w:rPr>
              <w:t> </w:t>
            </w:r>
            <w:r>
              <w:rPr>
                <w:color w:val="ED7D31" w:themeColor="accent2"/>
                <w:sz w:val="20"/>
                <w:szCs w:val="20"/>
                <w:lang w:val="fr-FR"/>
              </w:rPr>
              <w:t>1.1)</w:t>
            </w:r>
          </w:p>
        </w:tc>
        <w:tc>
          <w:tcPr>
            <w:tcW w:w="5811" w:type="dxa"/>
          </w:tcPr>
          <w:p w14:paraId="3951A53E" w14:textId="5DD70E54" w:rsidR="00C12F02" w:rsidRPr="00BD3D80" w:rsidRDefault="00C12F02" w:rsidP="00C12F02">
            <w:pPr>
              <w:pStyle w:val="ListParagraph"/>
              <w:numPr>
                <w:ilvl w:val="0"/>
                <w:numId w:val="17"/>
              </w:numPr>
              <w:spacing w:beforeLines="60" w:before="144" w:afterLines="60" w:after="144"/>
              <w:rPr>
                <w:sz w:val="20"/>
                <w:szCs w:val="20"/>
                <w:lang w:val="fr-FR"/>
              </w:rPr>
            </w:pPr>
            <w:r>
              <w:rPr>
                <w:sz w:val="20"/>
                <w:szCs w:val="20"/>
                <w:lang w:val="fr-FR"/>
              </w:rPr>
              <w:t xml:space="preserve">Nombre de tables rondes et de consultations organisées avec des OSC locales et marginalisées au niveau infranational pour </w:t>
            </w:r>
            <w:r w:rsidR="00154886">
              <w:rPr>
                <w:sz w:val="20"/>
                <w:szCs w:val="20"/>
                <w:lang w:val="fr-FR"/>
              </w:rPr>
              <w:t xml:space="preserve">leur permettre de </w:t>
            </w:r>
            <w:r>
              <w:rPr>
                <w:sz w:val="20"/>
                <w:szCs w:val="20"/>
                <w:lang w:val="fr-FR"/>
              </w:rPr>
              <w:t>contribuer aux plans et processus nationaux</w:t>
            </w:r>
            <w:r w:rsidR="00C26CAB">
              <w:rPr>
                <w:sz w:val="20"/>
                <w:szCs w:val="20"/>
                <w:lang w:val="fr-FR"/>
              </w:rPr>
              <w:t xml:space="preserve">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3FF0CE74" w14:textId="1E4D83F6" w:rsidR="00C36CCE" w:rsidRPr="00154886" w:rsidRDefault="00C36CCE" w:rsidP="005A3086">
            <w:pPr>
              <w:pStyle w:val="ListParagraph"/>
              <w:numPr>
                <w:ilvl w:val="0"/>
                <w:numId w:val="17"/>
              </w:numPr>
              <w:spacing w:beforeLines="60" w:before="144" w:afterLines="60" w:after="144"/>
              <w:rPr>
                <w:sz w:val="20"/>
                <w:szCs w:val="20"/>
                <w:lang w:val="fr-FR"/>
              </w:rPr>
            </w:pPr>
            <w:r>
              <w:rPr>
                <w:sz w:val="20"/>
                <w:szCs w:val="20"/>
                <w:lang w:val="fr-FR"/>
              </w:rPr>
              <w:t xml:space="preserve">Nombre de participants aux tables rondes et aux consultations organisées avec des OSC locales et marginalisées au niveau infranational pour </w:t>
            </w:r>
            <w:r w:rsidR="00154886">
              <w:rPr>
                <w:sz w:val="20"/>
                <w:szCs w:val="20"/>
                <w:lang w:val="fr-FR"/>
              </w:rPr>
              <w:t xml:space="preserve">leur permettre de </w:t>
            </w:r>
            <w:r>
              <w:rPr>
                <w:sz w:val="20"/>
                <w:szCs w:val="20"/>
                <w:lang w:val="fr-FR"/>
              </w:rPr>
              <w:t xml:space="preserve">contribuer aux plans et processus nationaux (hommes, femmes, filles, garçons)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3A485C3B" w14:textId="79186BEE" w:rsidR="005404AE" w:rsidRPr="00154886" w:rsidRDefault="00944C9C" w:rsidP="00944C9C">
            <w:pPr>
              <w:pStyle w:val="ListParagraph"/>
              <w:numPr>
                <w:ilvl w:val="0"/>
                <w:numId w:val="17"/>
              </w:numPr>
              <w:spacing w:beforeLines="60" w:before="144" w:afterLines="60" w:after="144"/>
              <w:rPr>
                <w:sz w:val="20"/>
                <w:szCs w:val="20"/>
                <w:lang w:val="fr-FR"/>
              </w:rPr>
            </w:pPr>
            <w:r>
              <w:rPr>
                <w:sz w:val="20"/>
                <w:szCs w:val="20"/>
                <w:lang w:val="fr-FR"/>
              </w:rPr>
              <w:t>Nombre de formations ou d</w:t>
            </w:r>
            <w:r w:rsidR="002C54BD">
              <w:rPr>
                <w:sz w:val="20"/>
                <w:szCs w:val="20"/>
                <w:lang w:val="fr-FR"/>
              </w:rPr>
              <w:t>’</w:t>
            </w:r>
            <w:r>
              <w:rPr>
                <w:sz w:val="20"/>
                <w:szCs w:val="20"/>
                <w:lang w:val="fr-FR"/>
              </w:rPr>
              <w:t xml:space="preserve">autres activités de renforcement des capacités visant les OSC locales et marginalisées pour </w:t>
            </w:r>
            <w:r w:rsidR="00154886">
              <w:rPr>
                <w:sz w:val="20"/>
                <w:szCs w:val="20"/>
                <w:lang w:val="fr-FR"/>
              </w:rPr>
              <w:t xml:space="preserve">leur permettre de </w:t>
            </w:r>
            <w:r>
              <w:rPr>
                <w:sz w:val="20"/>
                <w:szCs w:val="20"/>
                <w:lang w:val="fr-FR"/>
              </w:rPr>
              <w:t xml:space="preserve">contribuer au processus de planification nationale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4A21C991" w14:textId="21F97603" w:rsidR="00944C9C" w:rsidRPr="00154886" w:rsidRDefault="00944C9C" w:rsidP="00944C9C">
            <w:pPr>
              <w:pStyle w:val="ListParagraph"/>
              <w:numPr>
                <w:ilvl w:val="0"/>
                <w:numId w:val="17"/>
              </w:numPr>
              <w:spacing w:beforeLines="60" w:before="144" w:afterLines="60" w:after="144"/>
              <w:rPr>
                <w:sz w:val="20"/>
                <w:szCs w:val="20"/>
                <w:lang w:val="fr-FR"/>
              </w:rPr>
            </w:pPr>
            <w:r>
              <w:rPr>
                <w:sz w:val="20"/>
                <w:szCs w:val="20"/>
                <w:lang w:val="fr-FR"/>
              </w:rPr>
              <w:t>Nombre de participants à des formations ou à d</w:t>
            </w:r>
            <w:r w:rsidR="002C54BD">
              <w:rPr>
                <w:sz w:val="20"/>
                <w:szCs w:val="20"/>
                <w:lang w:val="fr-FR"/>
              </w:rPr>
              <w:t>’</w:t>
            </w:r>
            <w:r>
              <w:rPr>
                <w:sz w:val="20"/>
                <w:szCs w:val="20"/>
                <w:lang w:val="fr-FR"/>
              </w:rPr>
              <w:t xml:space="preserve">autres activités de renforcement des capacités visant les OSC locales et marginalisées pour </w:t>
            </w:r>
            <w:r w:rsidR="00154886">
              <w:rPr>
                <w:sz w:val="20"/>
                <w:szCs w:val="20"/>
                <w:lang w:val="fr-FR"/>
              </w:rPr>
              <w:t xml:space="preserve">leur permettre de </w:t>
            </w:r>
            <w:r>
              <w:rPr>
                <w:sz w:val="20"/>
                <w:szCs w:val="20"/>
                <w:lang w:val="fr-FR"/>
              </w:rPr>
              <w:t xml:space="preserve">contribuer au processus de planification nationale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r w:rsidR="00154886">
              <w:rPr>
                <w:color w:val="ED7D31" w:themeColor="accent2"/>
                <w:sz w:val="20"/>
                <w:szCs w:val="20"/>
                <w:lang w:val="fr-FR"/>
              </w:rPr>
              <w:t xml:space="preserve"> </w:t>
            </w:r>
            <w:r>
              <w:rPr>
                <w:color w:val="70AD47" w:themeColor="accent6"/>
                <w:sz w:val="20"/>
                <w:szCs w:val="20"/>
                <w:lang w:val="fr-FR"/>
              </w:rPr>
              <w:t xml:space="preserve">(ventilation par </w:t>
            </w:r>
            <w:r w:rsidR="00154886">
              <w:rPr>
                <w:color w:val="70AD47" w:themeColor="accent6"/>
                <w:sz w:val="20"/>
                <w:szCs w:val="20"/>
                <w:lang w:val="fr-FR"/>
              </w:rPr>
              <w:t>sexe</w:t>
            </w:r>
            <w:r>
              <w:rPr>
                <w:color w:val="70AD47" w:themeColor="accent6"/>
                <w:sz w:val="20"/>
                <w:szCs w:val="20"/>
                <w:lang w:val="fr-FR"/>
              </w:rPr>
              <w:t>)</w:t>
            </w:r>
          </w:p>
          <w:p w14:paraId="0D898DC0" w14:textId="7E2604AB" w:rsidR="005404AE" w:rsidRPr="00D9575E" w:rsidRDefault="005404AE" w:rsidP="00151E80">
            <w:pPr>
              <w:pStyle w:val="ListParagraph"/>
              <w:numPr>
                <w:ilvl w:val="0"/>
                <w:numId w:val="17"/>
              </w:numPr>
              <w:rPr>
                <w:sz w:val="20"/>
                <w:szCs w:val="20"/>
                <w:lang w:val="fr-FR"/>
              </w:rPr>
            </w:pPr>
            <w:r>
              <w:rPr>
                <w:sz w:val="20"/>
                <w:szCs w:val="20"/>
                <w:lang w:val="fr-FR"/>
              </w:rPr>
              <w:t xml:space="preserve">Preuve de </w:t>
            </w:r>
            <w:r w:rsidR="00D9575E">
              <w:rPr>
                <w:sz w:val="20"/>
                <w:szCs w:val="20"/>
                <w:lang w:val="fr-FR"/>
              </w:rPr>
              <w:t>participation</w:t>
            </w:r>
            <w:r>
              <w:rPr>
                <w:sz w:val="20"/>
                <w:szCs w:val="20"/>
                <w:lang w:val="fr-FR"/>
              </w:rPr>
              <w:t xml:space="preserve"> du public lors d</w:t>
            </w:r>
            <w:r w:rsidR="002C54BD">
              <w:rPr>
                <w:sz w:val="20"/>
                <w:szCs w:val="20"/>
                <w:lang w:val="fr-FR"/>
              </w:rPr>
              <w:t>’</w:t>
            </w:r>
            <w:r>
              <w:rPr>
                <w:sz w:val="20"/>
                <w:szCs w:val="20"/>
                <w:lang w:val="fr-FR"/>
              </w:rPr>
              <w:t>événements communautaires. (Nombre de messages accompagnés de photos sur les réseaux sociaux officiels des bénéficiaires</w:t>
            </w:r>
            <w:r w:rsidR="007063B3">
              <w:rPr>
                <w:sz w:val="20"/>
                <w:szCs w:val="20"/>
                <w:lang w:val="fr-FR"/>
              </w:rPr>
              <w:t xml:space="preserve"> de subventions</w:t>
            </w:r>
            <w:r>
              <w:rPr>
                <w:sz w:val="20"/>
                <w:szCs w:val="20"/>
                <w:lang w:val="fr-FR"/>
              </w:rPr>
              <w:t xml:space="preserve"> (tels que Twitter, Facebook) et les sites Web, et couverture médiatique sur les formations ou autres activités de renforcement des capacités visant les OSC locales et marginalisées)</w:t>
            </w:r>
            <w:r w:rsidR="00C26CAB">
              <w:rPr>
                <w:sz w:val="20"/>
                <w:szCs w:val="20"/>
                <w:lang w:val="fr-FR"/>
              </w:rPr>
              <w:t xml:space="preserve">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 xml:space="preserve"> </w:t>
            </w:r>
            <w:r w:rsidR="00D9575E">
              <w:rPr>
                <w:color w:val="ED7D31" w:themeColor="accent2"/>
                <w:sz w:val="20"/>
                <w:szCs w:val="20"/>
                <w:lang w:val="fr-FR"/>
              </w:rPr>
              <w:t>P</w:t>
            </w:r>
            <w:r>
              <w:rPr>
                <w:color w:val="ED7D31" w:themeColor="accent2"/>
                <w:sz w:val="20"/>
                <w:szCs w:val="20"/>
                <w:lang w:val="fr-FR"/>
              </w:rPr>
              <w:t>roduit</w:t>
            </w:r>
            <w:r w:rsidR="002C54BD">
              <w:rPr>
                <w:color w:val="ED7D31" w:themeColor="accent2"/>
                <w:sz w:val="20"/>
                <w:szCs w:val="20"/>
                <w:lang w:val="fr-FR"/>
              </w:rPr>
              <w:t> </w:t>
            </w:r>
            <w:r>
              <w:rPr>
                <w:color w:val="ED7D31" w:themeColor="accent2"/>
                <w:sz w:val="20"/>
                <w:szCs w:val="20"/>
                <w:lang w:val="fr-FR"/>
              </w:rPr>
              <w:t>1.1.4)</w:t>
            </w:r>
          </w:p>
          <w:p w14:paraId="05071F3A" w14:textId="34692BC3" w:rsidR="008656AD" w:rsidRPr="00BD3D80" w:rsidRDefault="00C36CCE" w:rsidP="00C36CCE">
            <w:pPr>
              <w:pStyle w:val="ListParagraph"/>
              <w:numPr>
                <w:ilvl w:val="0"/>
                <w:numId w:val="17"/>
              </w:numPr>
              <w:rPr>
                <w:sz w:val="20"/>
                <w:szCs w:val="20"/>
                <w:lang w:val="fr-FR"/>
              </w:rPr>
            </w:pPr>
            <w:r>
              <w:rPr>
                <w:sz w:val="20"/>
                <w:szCs w:val="20"/>
                <w:lang w:val="fr-FR"/>
              </w:rPr>
              <w:t>Nombre de groupes de femmes ayant bénéficié de l</w:t>
            </w:r>
            <w:r w:rsidR="002C54BD">
              <w:rPr>
                <w:sz w:val="20"/>
                <w:szCs w:val="20"/>
                <w:lang w:val="fr-FR"/>
              </w:rPr>
              <w:t>’</w:t>
            </w:r>
            <w:r>
              <w:rPr>
                <w:sz w:val="20"/>
                <w:szCs w:val="20"/>
                <w:lang w:val="fr-FR"/>
              </w:rPr>
              <w:t xml:space="preserve">aide des ASC qui ont participé à des tables rondes et </w:t>
            </w:r>
            <w:r w:rsidR="004147E9">
              <w:rPr>
                <w:sz w:val="20"/>
                <w:szCs w:val="20"/>
                <w:lang w:val="fr-FR"/>
              </w:rPr>
              <w:t xml:space="preserve">à </w:t>
            </w:r>
            <w:r>
              <w:rPr>
                <w:sz w:val="20"/>
                <w:szCs w:val="20"/>
                <w:lang w:val="fr-FR"/>
              </w:rPr>
              <w:t xml:space="preserve">des consultations au niveau infranational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 xml:space="preserve">) </w:t>
            </w:r>
            <w:r>
              <w:rPr>
                <w:color w:val="70AD47" w:themeColor="accent6"/>
                <w:sz w:val="20"/>
                <w:szCs w:val="20"/>
                <w:lang w:val="fr-FR"/>
              </w:rPr>
              <w:t>(ventilation par sexe</w:t>
            </w:r>
            <w:r w:rsidRPr="004147E9">
              <w:rPr>
                <w:color w:val="70AD47" w:themeColor="accent6"/>
                <w:sz w:val="20"/>
                <w:szCs w:val="20"/>
                <w:lang w:val="fr-FR"/>
              </w:rPr>
              <w:t>)</w:t>
            </w:r>
          </w:p>
        </w:tc>
      </w:tr>
      <w:tr w:rsidR="005404AE" w:rsidRPr="00880085" w14:paraId="32B18C24" w14:textId="77777777" w:rsidTr="004147E9">
        <w:trPr>
          <w:gridAfter w:val="1"/>
          <w:wAfter w:w="13" w:type="dxa"/>
        </w:trPr>
        <w:tc>
          <w:tcPr>
            <w:tcW w:w="473" w:type="dxa"/>
            <w:vMerge/>
          </w:tcPr>
          <w:p w14:paraId="7167F7FD" w14:textId="77777777" w:rsidR="005404AE" w:rsidRPr="00BD3D80" w:rsidRDefault="005404AE" w:rsidP="005E526B">
            <w:pPr>
              <w:rPr>
                <w:rFonts w:eastAsia="Times New Roman" w:cstheme="majorHAnsi"/>
                <w:sz w:val="20"/>
                <w:szCs w:val="20"/>
                <w:lang w:val="fr-FR"/>
              </w:rPr>
            </w:pPr>
          </w:p>
        </w:tc>
        <w:tc>
          <w:tcPr>
            <w:tcW w:w="4200" w:type="dxa"/>
          </w:tcPr>
          <w:p w14:paraId="3CA1A351" w14:textId="61BAD84E" w:rsidR="005404AE" w:rsidRPr="00BD3D80" w:rsidRDefault="0070233E" w:rsidP="005E526B">
            <w:pPr>
              <w:rPr>
                <w:rFonts w:eastAsia="Times New Roman" w:cstheme="majorHAnsi"/>
                <w:sz w:val="20"/>
                <w:szCs w:val="20"/>
                <w:lang w:val="fr-FR"/>
              </w:rPr>
            </w:pPr>
            <w:r>
              <w:rPr>
                <w:rFonts w:eastAsia="Times New Roman" w:cstheme="majorHAnsi"/>
                <w:sz w:val="20"/>
                <w:szCs w:val="20"/>
                <w:lang w:val="fr-FR"/>
              </w:rPr>
              <w:t>1.1.2 Parlementaires formés et sensibilisés à la nutrition</w:t>
            </w:r>
          </w:p>
        </w:tc>
        <w:tc>
          <w:tcPr>
            <w:tcW w:w="5811" w:type="dxa"/>
          </w:tcPr>
          <w:p w14:paraId="6D594679" w14:textId="0D3E1231" w:rsidR="005404AE" w:rsidRPr="00BD3D80" w:rsidRDefault="005404AE" w:rsidP="0070233E">
            <w:pPr>
              <w:pStyle w:val="ListParagraph"/>
              <w:numPr>
                <w:ilvl w:val="0"/>
                <w:numId w:val="17"/>
              </w:numPr>
              <w:rPr>
                <w:sz w:val="20"/>
                <w:szCs w:val="20"/>
                <w:lang w:val="fr-FR"/>
              </w:rPr>
            </w:pPr>
            <w:r>
              <w:rPr>
                <w:rFonts w:eastAsia="Times New Roman" w:cstheme="majorHAnsi"/>
                <w:sz w:val="20"/>
                <w:szCs w:val="20"/>
                <w:lang w:val="fr-FR"/>
              </w:rPr>
              <w:t xml:space="preserve">Nombre de parlementaires participant à la formation </w:t>
            </w:r>
            <w:r>
              <w:rPr>
                <w:rFonts w:eastAsia="Times New Roman" w:cstheme="majorHAnsi"/>
                <w:color w:val="70AD47" w:themeColor="accent6"/>
                <w:sz w:val="20"/>
                <w:szCs w:val="20"/>
                <w:lang w:val="fr-FR"/>
              </w:rPr>
              <w:t>(ventilation par sexe)</w:t>
            </w:r>
          </w:p>
          <w:p w14:paraId="20031E63" w14:textId="589AE4F8" w:rsidR="00944C9C" w:rsidRPr="00BD3D80" w:rsidRDefault="00944C9C" w:rsidP="00B53EAE">
            <w:pPr>
              <w:pStyle w:val="ListParagraph"/>
              <w:rPr>
                <w:sz w:val="20"/>
                <w:szCs w:val="20"/>
                <w:lang w:val="fr-FR"/>
              </w:rPr>
            </w:pPr>
          </w:p>
        </w:tc>
      </w:tr>
      <w:tr w:rsidR="005404AE" w:rsidRPr="00880085" w14:paraId="4DB99F54" w14:textId="77777777" w:rsidTr="004147E9">
        <w:trPr>
          <w:gridAfter w:val="1"/>
          <w:wAfter w:w="13" w:type="dxa"/>
        </w:trPr>
        <w:tc>
          <w:tcPr>
            <w:tcW w:w="473" w:type="dxa"/>
            <w:vMerge/>
          </w:tcPr>
          <w:p w14:paraId="605A0230" w14:textId="77777777" w:rsidR="005404AE" w:rsidRPr="00BD3D80" w:rsidRDefault="005404AE" w:rsidP="005E526B">
            <w:pPr>
              <w:rPr>
                <w:rFonts w:eastAsia="Times New Roman" w:cstheme="majorHAnsi"/>
                <w:sz w:val="20"/>
                <w:szCs w:val="20"/>
                <w:lang w:val="fr-FR"/>
              </w:rPr>
            </w:pPr>
          </w:p>
        </w:tc>
        <w:tc>
          <w:tcPr>
            <w:tcW w:w="4200" w:type="dxa"/>
          </w:tcPr>
          <w:p w14:paraId="7812E5B8" w14:textId="193288FA" w:rsidR="005404AE" w:rsidRPr="00BD3D80" w:rsidRDefault="0070233E" w:rsidP="005E526B">
            <w:pPr>
              <w:rPr>
                <w:rFonts w:eastAsia="Times New Roman" w:cstheme="majorHAnsi"/>
                <w:sz w:val="20"/>
                <w:szCs w:val="20"/>
                <w:lang w:val="fr-FR"/>
              </w:rPr>
            </w:pPr>
            <w:r>
              <w:rPr>
                <w:rFonts w:eastAsia="Times New Roman" w:cstheme="majorHAnsi"/>
                <w:sz w:val="20"/>
                <w:szCs w:val="20"/>
                <w:lang w:val="fr-FR"/>
              </w:rPr>
              <w:t xml:space="preserve">1.1.3 Mises à jour, </w:t>
            </w:r>
            <w:r w:rsidR="007063B3">
              <w:rPr>
                <w:rFonts w:eastAsia="Times New Roman" w:cstheme="majorHAnsi"/>
                <w:sz w:val="20"/>
                <w:szCs w:val="20"/>
                <w:lang w:val="fr-FR"/>
              </w:rPr>
              <w:t xml:space="preserve">notes d’information </w:t>
            </w:r>
            <w:r>
              <w:rPr>
                <w:rFonts w:eastAsia="Times New Roman" w:cstheme="majorHAnsi"/>
                <w:sz w:val="20"/>
                <w:szCs w:val="20"/>
                <w:lang w:val="fr-FR"/>
              </w:rPr>
              <w:t xml:space="preserve">et recommandations stratégiques </w:t>
            </w:r>
            <w:r w:rsidR="007063B3">
              <w:rPr>
                <w:rFonts w:eastAsia="Times New Roman" w:cstheme="majorHAnsi"/>
                <w:sz w:val="20"/>
                <w:szCs w:val="20"/>
                <w:lang w:val="fr-FR"/>
              </w:rPr>
              <w:t xml:space="preserve">pour les </w:t>
            </w:r>
            <w:r>
              <w:rPr>
                <w:rFonts w:eastAsia="Times New Roman" w:cstheme="majorHAnsi"/>
                <w:sz w:val="20"/>
                <w:szCs w:val="20"/>
                <w:lang w:val="fr-FR"/>
              </w:rPr>
              <w:t xml:space="preserve">responsables politiques </w:t>
            </w:r>
          </w:p>
        </w:tc>
        <w:tc>
          <w:tcPr>
            <w:tcW w:w="5811" w:type="dxa"/>
          </w:tcPr>
          <w:p w14:paraId="1048F75B" w14:textId="09E7AE34" w:rsidR="005404AE" w:rsidRPr="00BD3D80" w:rsidRDefault="005404AE" w:rsidP="005E526B">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 xml:space="preserve">Nombre de mises à jour, de </w:t>
            </w:r>
            <w:r w:rsidR="007063B3">
              <w:rPr>
                <w:rFonts w:eastAsia="Times New Roman" w:cstheme="majorHAnsi"/>
                <w:sz w:val="20"/>
                <w:szCs w:val="20"/>
                <w:lang w:val="fr-FR"/>
              </w:rPr>
              <w:t>notes d’information</w:t>
            </w:r>
            <w:r>
              <w:rPr>
                <w:rFonts w:eastAsia="Times New Roman" w:cstheme="majorHAnsi"/>
                <w:sz w:val="20"/>
                <w:szCs w:val="20"/>
                <w:lang w:val="fr-FR"/>
              </w:rPr>
              <w:t>, de recommandations politiques élaboré</w:t>
            </w:r>
            <w:r w:rsidR="002C54BD">
              <w:rPr>
                <w:rFonts w:eastAsia="Times New Roman" w:cstheme="majorHAnsi"/>
                <w:sz w:val="20"/>
                <w:szCs w:val="20"/>
                <w:lang w:val="fr-FR"/>
              </w:rPr>
              <w:t>e</w:t>
            </w:r>
            <w:r>
              <w:rPr>
                <w:rFonts w:eastAsia="Times New Roman" w:cstheme="majorHAnsi"/>
                <w:sz w:val="20"/>
                <w:szCs w:val="20"/>
                <w:lang w:val="fr-FR"/>
              </w:rPr>
              <w:t>s</w:t>
            </w:r>
          </w:p>
          <w:p w14:paraId="5A4615A7" w14:textId="7CDBE834" w:rsidR="005404AE" w:rsidRPr="00BD3D80" w:rsidRDefault="005404AE" w:rsidP="0070233E">
            <w:pPr>
              <w:pStyle w:val="ListParagraph"/>
              <w:numPr>
                <w:ilvl w:val="0"/>
                <w:numId w:val="17"/>
              </w:numPr>
              <w:rPr>
                <w:sz w:val="20"/>
                <w:szCs w:val="20"/>
                <w:lang w:val="fr-FR"/>
              </w:rPr>
            </w:pPr>
            <w:r>
              <w:rPr>
                <w:rFonts w:eastAsia="Times New Roman" w:cstheme="majorHAnsi"/>
                <w:sz w:val="20"/>
                <w:szCs w:val="20"/>
                <w:lang w:val="fr-FR"/>
              </w:rPr>
              <w:t>Nombre de décideurs (</w:t>
            </w:r>
            <w:r w:rsidR="00E46586">
              <w:rPr>
                <w:rFonts w:eastAsia="Times New Roman" w:cstheme="majorHAnsi"/>
                <w:sz w:val="20"/>
                <w:szCs w:val="20"/>
                <w:lang w:val="fr-FR"/>
              </w:rPr>
              <w:t>au niveau national/infranational</w:t>
            </w:r>
            <w:r>
              <w:rPr>
                <w:rFonts w:eastAsia="Times New Roman" w:cstheme="majorHAnsi"/>
                <w:sz w:val="20"/>
                <w:szCs w:val="20"/>
                <w:lang w:val="fr-FR"/>
              </w:rPr>
              <w:t xml:space="preserve">) ayant reçu des </w:t>
            </w:r>
            <w:r w:rsidR="007063B3">
              <w:rPr>
                <w:rFonts w:eastAsia="Times New Roman" w:cstheme="majorHAnsi"/>
                <w:sz w:val="20"/>
                <w:szCs w:val="20"/>
                <w:lang w:val="fr-FR"/>
              </w:rPr>
              <w:t>notes d’information</w:t>
            </w:r>
            <w:r>
              <w:rPr>
                <w:rFonts w:eastAsia="Times New Roman" w:cstheme="majorHAnsi"/>
                <w:sz w:val="20"/>
                <w:szCs w:val="20"/>
                <w:lang w:val="fr-FR"/>
              </w:rPr>
              <w:t xml:space="preserve">, des mises à jour, des recommandations </w:t>
            </w:r>
            <w:r>
              <w:rPr>
                <w:rFonts w:eastAsia="Times New Roman" w:cstheme="majorHAnsi"/>
                <w:color w:val="70AD47" w:themeColor="accent6"/>
                <w:sz w:val="20"/>
                <w:szCs w:val="20"/>
                <w:lang w:val="fr-FR"/>
              </w:rPr>
              <w:t>(ventilés par sexe)</w:t>
            </w:r>
          </w:p>
        </w:tc>
      </w:tr>
      <w:tr w:rsidR="005404AE" w:rsidRPr="00880085" w14:paraId="06DBD976" w14:textId="77777777" w:rsidTr="004147E9">
        <w:trPr>
          <w:gridAfter w:val="1"/>
          <w:wAfter w:w="13" w:type="dxa"/>
        </w:trPr>
        <w:tc>
          <w:tcPr>
            <w:tcW w:w="473" w:type="dxa"/>
            <w:vMerge/>
          </w:tcPr>
          <w:p w14:paraId="6522366D" w14:textId="77777777" w:rsidR="005404AE" w:rsidRPr="00BD3D80" w:rsidRDefault="005404AE" w:rsidP="005E526B">
            <w:pPr>
              <w:rPr>
                <w:rFonts w:eastAsia="Times New Roman" w:cstheme="majorHAnsi"/>
                <w:sz w:val="20"/>
                <w:szCs w:val="20"/>
                <w:lang w:val="fr-FR"/>
              </w:rPr>
            </w:pPr>
          </w:p>
        </w:tc>
        <w:tc>
          <w:tcPr>
            <w:tcW w:w="4200" w:type="dxa"/>
          </w:tcPr>
          <w:p w14:paraId="27312CD8" w14:textId="14DB1B03" w:rsidR="005404AE" w:rsidRPr="00BD3D80" w:rsidRDefault="0070233E" w:rsidP="005E526B">
            <w:pPr>
              <w:rPr>
                <w:rFonts w:eastAsia="Times New Roman" w:cstheme="majorHAnsi"/>
                <w:sz w:val="20"/>
                <w:szCs w:val="20"/>
                <w:lang w:val="fr-FR"/>
              </w:rPr>
            </w:pPr>
            <w:r>
              <w:rPr>
                <w:rFonts w:eastAsia="Times New Roman" w:cstheme="majorHAnsi"/>
                <w:sz w:val="20"/>
                <w:szCs w:val="20"/>
                <w:lang w:val="fr-FR"/>
              </w:rPr>
              <w:t>1.1.4 Parlementaires sensibilisés, bénéficiant d</w:t>
            </w:r>
            <w:r w:rsidR="002C54BD">
              <w:rPr>
                <w:rFonts w:eastAsia="Times New Roman" w:cstheme="majorHAnsi"/>
                <w:sz w:val="20"/>
                <w:szCs w:val="20"/>
                <w:lang w:val="fr-FR"/>
              </w:rPr>
              <w:t>’</w:t>
            </w:r>
            <w:r>
              <w:rPr>
                <w:rFonts w:eastAsia="Times New Roman" w:cstheme="majorHAnsi"/>
                <w:sz w:val="20"/>
                <w:szCs w:val="20"/>
                <w:lang w:val="fr-FR"/>
              </w:rPr>
              <w:t>un renforcement de leurs capacités ou informés (au niveau national ou infranational)</w:t>
            </w:r>
          </w:p>
        </w:tc>
        <w:tc>
          <w:tcPr>
            <w:tcW w:w="5811" w:type="dxa"/>
          </w:tcPr>
          <w:p w14:paraId="451662DF" w14:textId="2E04BA19"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de parlementaires approchés (ventilés par sexe)</w:t>
            </w:r>
          </w:p>
        </w:tc>
      </w:tr>
      <w:tr w:rsidR="005404AE" w:rsidRPr="00880085" w14:paraId="23FA8B90" w14:textId="77777777" w:rsidTr="004147E9">
        <w:trPr>
          <w:gridAfter w:val="1"/>
          <w:wAfter w:w="13" w:type="dxa"/>
        </w:trPr>
        <w:tc>
          <w:tcPr>
            <w:tcW w:w="473" w:type="dxa"/>
            <w:vMerge/>
          </w:tcPr>
          <w:p w14:paraId="3B322C2E" w14:textId="77777777" w:rsidR="005404AE" w:rsidRPr="00BD3D80" w:rsidRDefault="005404AE" w:rsidP="005E526B">
            <w:pPr>
              <w:rPr>
                <w:rFonts w:eastAsia="Times New Roman" w:cstheme="majorHAnsi"/>
                <w:sz w:val="20"/>
                <w:szCs w:val="20"/>
                <w:lang w:val="fr-FR"/>
              </w:rPr>
            </w:pPr>
          </w:p>
        </w:tc>
        <w:tc>
          <w:tcPr>
            <w:tcW w:w="4200" w:type="dxa"/>
          </w:tcPr>
          <w:p w14:paraId="0ED5AFEA" w14:textId="1B67FC18" w:rsidR="005404AE" w:rsidRPr="00BD3D80" w:rsidRDefault="0070233E" w:rsidP="005E526B">
            <w:pPr>
              <w:rPr>
                <w:rFonts w:eastAsia="Times New Roman" w:cstheme="majorHAnsi"/>
                <w:sz w:val="20"/>
                <w:szCs w:val="20"/>
                <w:lang w:val="fr-FR"/>
              </w:rPr>
            </w:pPr>
            <w:r>
              <w:rPr>
                <w:rFonts w:eastAsia="Times New Roman" w:cstheme="majorHAnsi"/>
                <w:sz w:val="20"/>
                <w:szCs w:val="20"/>
                <w:lang w:val="fr-FR"/>
              </w:rPr>
              <w:t xml:space="preserve">1.1.5 </w:t>
            </w:r>
            <w:r w:rsidR="007063B3">
              <w:rPr>
                <w:rFonts w:eastAsia="Times New Roman" w:cstheme="majorHAnsi"/>
                <w:sz w:val="20"/>
                <w:szCs w:val="20"/>
                <w:lang w:val="fr-FR"/>
              </w:rPr>
              <w:t xml:space="preserve">Documents </w:t>
            </w:r>
            <w:r w:rsidR="00E46586">
              <w:rPr>
                <w:rFonts w:eastAsia="Times New Roman" w:cstheme="majorHAnsi"/>
                <w:sz w:val="20"/>
                <w:szCs w:val="20"/>
                <w:lang w:val="fr-FR"/>
              </w:rPr>
              <w:t>de données probantes et</w:t>
            </w:r>
            <w:r>
              <w:rPr>
                <w:rFonts w:eastAsia="Times New Roman" w:cstheme="majorHAnsi"/>
                <w:sz w:val="20"/>
                <w:szCs w:val="20"/>
                <w:lang w:val="fr-FR"/>
              </w:rPr>
              <w:t xml:space="preserve"> </w:t>
            </w:r>
            <w:r w:rsidR="00E46586">
              <w:rPr>
                <w:rFonts w:eastAsia="Times New Roman" w:cstheme="majorHAnsi"/>
                <w:sz w:val="20"/>
                <w:szCs w:val="20"/>
                <w:lang w:val="fr-FR"/>
              </w:rPr>
              <w:t xml:space="preserve">de </w:t>
            </w:r>
            <w:r>
              <w:rPr>
                <w:rFonts w:eastAsia="Times New Roman" w:cstheme="majorHAnsi"/>
                <w:sz w:val="20"/>
                <w:szCs w:val="20"/>
                <w:lang w:val="fr-FR"/>
              </w:rPr>
              <w:t xml:space="preserve">recommandations </w:t>
            </w:r>
            <w:r w:rsidR="00E46586">
              <w:rPr>
                <w:rFonts w:eastAsia="Times New Roman" w:cstheme="majorHAnsi"/>
                <w:sz w:val="20"/>
                <w:szCs w:val="20"/>
                <w:lang w:val="fr-FR"/>
              </w:rPr>
              <w:t xml:space="preserve">produits </w:t>
            </w:r>
            <w:r>
              <w:rPr>
                <w:rFonts w:eastAsia="Times New Roman" w:cstheme="majorHAnsi"/>
                <w:sz w:val="20"/>
                <w:szCs w:val="20"/>
                <w:lang w:val="fr-FR"/>
              </w:rPr>
              <w:t>et remis aux parlementaires ou aux autorités locales</w:t>
            </w:r>
          </w:p>
        </w:tc>
        <w:tc>
          <w:tcPr>
            <w:tcW w:w="5811" w:type="dxa"/>
          </w:tcPr>
          <w:p w14:paraId="36CA5742" w14:textId="7F3ED917" w:rsidR="005404AE" w:rsidRPr="00325D8D"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 xml:space="preserve">Nombre de </w:t>
            </w:r>
            <w:r w:rsidR="007063B3">
              <w:rPr>
                <w:rFonts w:eastAsia="Times New Roman" w:cstheme="majorHAnsi"/>
                <w:sz w:val="20"/>
                <w:szCs w:val="20"/>
                <w:lang w:val="fr-FR"/>
              </w:rPr>
              <w:t xml:space="preserve">documents d’information </w:t>
            </w:r>
            <w:r>
              <w:rPr>
                <w:rFonts w:eastAsia="Times New Roman" w:cstheme="majorHAnsi"/>
                <w:sz w:val="20"/>
                <w:szCs w:val="20"/>
                <w:lang w:val="fr-FR"/>
              </w:rPr>
              <w:t>produits</w:t>
            </w:r>
          </w:p>
          <w:p w14:paraId="0B82621C" w14:textId="50062695" w:rsidR="005404AE" w:rsidRPr="00BD3D80" w:rsidRDefault="005404AE" w:rsidP="0070233E">
            <w:pPr>
              <w:pStyle w:val="ListParagraph"/>
              <w:numPr>
                <w:ilvl w:val="0"/>
                <w:numId w:val="17"/>
              </w:numPr>
              <w:rPr>
                <w:sz w:val="20"/>
                <w:szCs w:val="20"/>
                <w:lang w:val="fr-FR"/>
              </w:rPr>
            </w:pPr>
            <w:r>
              <w:rPr>
                <w:rFonts w:eastAsia="Times New Roman" w:cstheme="majorHAnsi"/>
                <w:sz w:val="20"/>
                <w:szCs w:val="20"/>
                <w:lang w:val="fr-FR"/>
              </w:rPr>
              <w:t xml:space="preserve">Nombre de réunions avec les parlementaires/autorités locales pour partager </w:t>
            </w:r>
            <w:r w:rsidR="00E46586">
              <w:rPr>
                <w:rFonts w:eastAsia="Times New Roman" w:cstheme="majorHAnsi"/>
                <w:sz w:val="20"/>
                <w:szCs w:val="20"/>
                <w:lang w:val="fr-FR"/>
              </w:rPr>
              <w:t>ces</w:t>
            </w:r>
            <w:r>
              <w:rPr>
                <w:rFonts w:eastAsia="Times New Roman" w:cstheme="majorHAnsi"/>
                <w:sz w:val="20"/>
                <w:szCs w:val="20"/>
                <w:lang w:val="fr-FR"/>
              </w:rPr>
              <w:t xml:space="preserve"> informations (nationales ou infranationales – ventilés par sexe).</w:t>
            </w:r>
          </w:p>
        </w:tc>
      </w:tr>
      <w:tr w:rsidR="005404AE" w:rsidRPr="00880085" w14:paraId="6C863C7C" w14:textId="77777777" w:rsidTr="004147E9">
        <w:trPr>
          <w:gridAfter w:val="1"/>
          <w:wAfter w:w="13" w:type="dxa"/>
        </w:trPr>
        <w:tc>
          <w:tcPr>
            <w:tcW w:w="473" w:type="dxa"/>
            <w:vMerge/>
          </w:tcPr>
          <w:p w14:paraId="5DC8E06A" w14:textId="77777777" w:rsidR="005404AE" w:rsidRPr="00BD3D80" w:rsidRDefault="005404AE" w:rsidP="005E526B">
            <w:pPr>
              <w:rPr>
                <w:rFonts w:eastAsia="Times New Roman" w:cstheme="majorHAnsi"/>
                <w:sz w:val="20"/>
                <w:szCs w:val="20"/>
                <w:lang w:val="fr-FR"/>
              </w:rPr>
            </w:pPr>
          </w:p>
        </w:tc>
        <w:tc>
          <w:tcPr>
            <w:tcW w:w="4200" w:type="dxa"/>
          </w:tcPr>
          <w:p w14:paraId="48033A15" w14:textId="21C9D7A2" w:rsidR="005404AE" w:rsidRPr="00BD3D80" w:rsidRDefault="0070233E" w:rsidP="005E526B">
            <w:pPr>
              <w:rPr>
                <w:rFonts w:eastAsia="Times New Roman" w:cstheme="majorHAnsi"/>
                <w:sz w:val="20"/>
                <w:szCs w:val="20"/>
                <w:lang w:val="fr-FR"/>
              </w:rPr>
            </w:pPr>
            <w:r>
              <w:rPr>
                <w:rFonts w:eastAsia="Times New Roman" w:cstheme="majorHAnsi"/>
                <w:sz w:val="20"/>
                <w:szCs w:val="20"/>
                <w:lang w:val="fr-FR"/>
              </w:rPr>
              <w:t xml:space="preserve">1.1.6 </w:t>
            </w:r>
            <w:r w:rsidR="00452439">
              <w:rPr>
                <w:rFonts w:eastAsia="Times New Roman" w:cstheme="majorHAnsi"/>
                <w:sz w:val="20"/>
                <w:szCs w:val="20"/>
                <w:lang w:val="fr-FR"/>
              </w:rPr>
              <w:t>C</w:t>
            </w:r>
            <w:r>
              <w:rPr>
                <w:rFonts w:eastAsia="Times New Roman" w:cstheme="majorHAnsi"/>
                <w:sz w:val="20"/>
                <w:szCs w:val="20"/>
                <w:lang w:val="fr-FR"/>
              </w:rPr>
              <w:t>ouverture médiatique sur les questions nutritionnelles clés (au niveau national ou infranational)</w:t>
            </w:r>
          </w:p>
          <w:p w14:paraId="3ED812F8" w14:textId="77777777" w:rsidR="005404AE" w:rsidRPr="00BD3D80" w:rsidRDefault="005404AE" w:rsidP="005E526B">
            <w:pPr>
              <w:rPr>
                <w:rFonts w:eastAsia="Times New Roman" w:cstheme="majorHAnsi"/>
                <w:sz w:val="20"/>
                <w:szCs w:val="20"/>
                <w:lang w:val="fr-FR"/>
              </w:rPr>
            </w:pPr>
          </w:p>
          <w:p w14:paraId="025C77AF" w14:textId="77777777" w:rsidR="005404AE" w:rsidRPr="00BD3D80" w:rsidRDefault="005404AE" w:rsidP="005E526B">
            <w:pPr>
              <w:rPr>
                <w:rFonts w:eastAsia="Times New Roman" w:cstheme="majorHAnsi"/>
                <w:sz w:val="20"/>
                <w:szCs w:val="20"/>
                <w:lang w:val="fr-FR"/>
              </w:rPr>
            </w:pPr>
          </w:p>
          <w:p w14:paraId="306821E8" w14:textId="77777777" w:rsidR="005404AE" w:rsidRPr="00BD3D80" w:rsidRDefault="005404AE" w:rsidP="005E526B">
            <w:pPr>
              <w:rPr>
                <w:rFonts w:eastAsia="Times New Roman" w:cstheme="majorHAnsi"/>
                <w:sz w:val="20"/>
                <w:szCs w:val="20"/>
                <w:lang w:val="fr-FR"/>
              </w:rPr>
            </w:pPr>
          </w:p>
        </w:tc>
        <w:tc>
          <w:tcPr>
            <w:tcW w:w="5811" w:type="dxa"/>
          </w:tcPr>
          <w:p w14:paraId="0D52C40E" w14:textId="4AA66775" w:rsidR="005404AE" w:rsidRPr="00BD3D80" w:rsidRDefault="005404AE" w:rsidP="005E526B">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lastRenderedPageBreak/>
              <w:t>Nombre de communiqués de presse, d</w:t>
            </w:r>
            <w:r w:rsidR="002C54BD">
              <w:rPr>
                <w:rFonts w:eastAsia="Times New Roman" w:cstheme="majorHAnsi"/>
                <w:sz w:val="20"/>
                <w:szCs w:val="20"/>
                <w:lang w:val="fr-FR"/>
              </w:rPr>
              <w:t>’</w:t>
            </w:r>
            <w:r>
              <w:rPr>
                <w:rFonts w:eastAsia="Times New Roman" w:cstheme="majorHAnsi"/>
                <w:sz w:val="20"/>
                <w:szCs w:val="20"/>
                <w:lang w:val="fr-FR"/>
              </w:rPr>
              <w:t>interviews à la radio, d</w:t>
            </w:r>
            <w:r w:rsidR="002C54BD">
              <w:rPr>
                <w:rFonts w:eastAsia="Times New Roman" w:cstheme="majorHAnsi"/>
                <w:sz w:val="20"/>
                <w:szCs w:val="20"/>
                <w:lang w:val="fr-FR"/>
              </w:rPr>
              <w:t>’</w:t>
            </w:r>
            <w:r>
              <w:rPr>
                <w:rFonts w:eastAsia="Times New Roman" w:cstheme="majorHAnsi"/>
                <w:sz w:val="20"/>
                <w:szCs w:val="20"/>
                <w:lang w:val="fr-FR"/>
              </w:rPr>
              <w:t>interviews/programmes télévisés, d</w:t>
            </w:r>
            <w:r w:rsidR="002C54BD">
              <w:rPr>
                <w:rFonts w:eastAsia="Times New Roman" w:cstheme="majorHAnsi"/>
                <w:sz w:val="20"/>
                <w:szCs w:val="20"/>
                <w:lang w:val="fr-FR"/>
              </w:rPr>
              <w:t>’</w:t>
            </w:r>
            <w:r>
              <w:rPr>
                <w:rFonts w:eastAsia="Times New Roman" w:cstheme="majorHAnsi"/>
                <w:sz w:val="20"/>
                <w:szCs w:val="20"/>
                <w:lang w:val="fr-FR"/>
              </w:rPr>
              <w:t>articles, d</w:t>
            </w:r>
            <w:r w:rsidR="002C54BD">
              <w:rPr>
                <w:rFonts w:eastAsia="Times New Roman" w:cstheme="majorHAnsi"/>
                <w:sz w:val="20"/>
                <w:szCs w:val="20"/>
                <w:lang w:val="fr-FR"/>
              </w:rPr>
              <w:t>’</w:t>
            </w:r>
            <w:r>
              <w:rPr>
                <w:rFonts w:eastAsia="Times New Roman" w:cstheme="majorHAnsi"/>
                <w:sz w:val="20"/>
                <w:szCs w:val="20"/>
                <w:lang w:val="fr-FR"/>
              </w:rPr>
              <w:t xml:space="preserve">enquêtes menées par les médias, etc. </w:t>
            </w:r>
            <w:r w:rsidR="00452439">
              <w:rPr>
                <w:rFonts w:eastAsia="Times New Roman" w:cstheme="majorHAnsi"/>
                <w:sz w:val="20"/>
                <w:szCs w:val="20"/>
                <w:lang w:val="fr-FR"/>
              </w:rPr>
              <w:t>réalisés</w:t>
            </w:r>
            <w:r>
              <w:rPr>
                <w:rFonts w:eastAsia="Times New Roman" w:cstheme="majorHAnsi"/>
                <w:sz w:val="20"/>
                <w:szCs w:val="20"/>
                <w:lang w:val="fr-FR"/>
              </w:rPr>
              <w:t xml:space="preserve"> par les médias </w:t>
            </w:r>
          </w:p>
          <w:p w14:paraId="3B37F386" w14:textId="28B36CFF" w:rsidR="005404AE" w:rsidRPr="00BD3D80" w:rsidRDefault="005404AE" w:rsidP="0070233E">
            <w:pPr>
              <w:pStyle w:val="ListParagraph"/>
              <w:numPr>
                <w:ilvl w:val="0"/>
                <w:numId w:val="17"/>
              </w:numPr>
              <w:rPr>
                <w:sz w:val="20"/>
                <w:szCs w:val="20"/>
                <w:lang w:val="fr-FR"/>
              </w:rPr>
            </w:pPr>
            <w:r>
              <w:rPr>
                <w:rFonts w:eastAsia="Times New Roman" w:cstheme="majorHAnsi"/>
                <w:sz w:val="20"/>
                <w:szCs w:val="20"/>
                <w:lang w:val="fr-FR"/>
              </w:rPr>
              <w:lastRenderedPageBreak/>
              <w:t xml:space="preserve">Nombre de représentants du secteur des médias formés </w:t>
            </w:r>
            <w:r>
              <w:rPr>
                <w:rFonts w:eastAsia="Times New Roman" w:cstheme="majorHAnsi"/>
                <w:color w:val="70AD47" w:themeColor="accent6"/>
                <w:sz w:val="20"/>
                <w:szCs w:val="20"/>
                <w:lang w:val="fr-FR"/>
              </w:rPr>
              <w:t>(ventilé</w:t>
            </w:r>
            <w:r w:rsidR="00452439">
              <w:rPr>
                <w:rFonts w:eastAsia="Times New Roman" w:cstheme="majorHAnsi"/>
                <w:color w:val="70AD47" w:themeColor="accent6"/>
                <w:sz w:val="20"/>
                <w:szCs w:val="20"/>
                <w:lang w:val="fr-FR"/>
              </w:rPr>
              <w:t>s</w:t>
            </w:r>
            <w:r>
              <w:rPr>
                <w:rFonts w:eastAsia="Times New Roman" w:cstheme="majorHAnsi"/>
                <w:color w:val="70AD47" w:themeColor="accent6"/>
                <w:sz w:val="20"/>
                <w:szCs w:val="20"/>
                <w:lang w:val="fr-FR"/>
              </w:rPr>
              <w:t xml:space="preserve"> par sexe)</w:t>
            </w:r>
          </w:p>
        </w:tc>
      </w:tr>
      <w:tr w:rsidR="005404AE" w:rsidRPr="00880085" w14:paraId="392E741D" w14:textId="77777777" w:rsidTr="004147E9">
        <w:trPr>
          <w:gridAfter w:val="1"/>
          <w:wAfter w:w="13" w:type="dxa"/>
        </w:trPr>
        <w:tc>
          <w:tcPr>
            <w:tcW w:w="473" w:type="dxa"/>
            <w:vMerge/>
          </w:tcPr>
          <w:p w14:paraId="74CB54F5" w14:textId="77777777" w:rsidR="005404AE" w:rsidRPr="00BD3D80" w:rsidRDefault="005404AE" w:rsidP="005E526B">
            <w:pPr>
              <w:rPr>
                <w:rFonts w:eastAsia="Times New Roman" w:cstheme="majorHAnsi"/>
                <w:sz w:val="20"/>
                <w:szCs w:val="20"/>
                <w:lang w:val="fr-FR"/>
              </w:rPr>
            </w:pPr>
          </w:p>
        </w:tc>
        <w:tc>
          <w:tcPr>
            <w:tcW w:w="4200" w:type="dxa"/>
          </w:tcPr>
          <w:p w14:paraId="59F73200" w14:textId="72E689E1" w:rsidR="005404AE" w:rsidRPr="00BD3D80" w:rsidRDefault="0070233E" w:rsidP="005E526B">
            <w:pPr>
              <w:rPr>
                <w:rFonts w:eastAsia="Times New Roman" w:cstheme="majorHAnsi"/>
                <w:sz w:val="20"/>
                <w:szCs w:val="20"/>
                <w:lang w:val="fr-FR"/>
              </w:rPr>
            </w:pPr>
            <w:r>
              <w:rPr>
                <w:rFonts w:eastAsia="Times New Roman" w:cstheme="majorHAnsi"/>
                <w:sz w:val="20"/>
                <w:szCs w:val="20"/>
                <w:lang w:val="fr-FR"/>
              </w:rPr>
              <w:t>1.1.7 Citoyens mobilisés sur des questions nutritionnelles clés (au niveau national ou infranational)</w:t>
            </w:r>
          </w:p>
          <w:p w14:paraId="7B460A5B" w14:textId="77777777" w:rsidR="005404AE" w:rsidRPr="00BD3D80" w:rsidRDefault="005404AE" w:rsidP="005E526B">
            <w:pPr>
              <w:rPr>
                <w:rFonts w:eastAsia="Times New Roman" w:cstheme="majorHAnsi"/>
                <w:sz w:val="20"/>
                <w:szCs w:val="20"/>
                <w:lang w:val="fr-FR"/>
              </w:rPr>
            </w:pPr>
          </w:p>
          <w:p w14:paraId="49083587" w14:textId="77777777" w:rsidR="005404AE" w:rsidRPr="00BD3D80" w:rsidRDefault="005404AE" w:rsidP="005E526B">
            <w:pPr>
              <w:rPr>
                <w:rFonts w:eastAsia="Times New Roman" w:cstheme="majorHAnsi"/>
                <w:sz w:val="20"/>
                <w:szCs w:val="20"/>
                <w:lang w:val="fr-FR"/>
              </w:rPr>
            </w:pPr>
          </w:p>
        </w:tc>
        <w:tc>
          <w:tcPr>
            <w:tcW w:w="5811" w:type="dxa"/>
          </w:tcPr>
          <w:p w14:paraId="5AFA483E" w14:textId="291B4649"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 xml:space="preserve">Nombre de participants aux </w:t>
            </w:r>
            <w:r w:rsidR="00972551">
              <w:rPr>
                <w:rFonts w:eastAsia="Times New Roman" w:cstheme="majorHAnsi"/>
                <w:sz w:val="20"/>
                <w:szCs w:val="20"/>
                <w:lang w:val="fr-FR"/>
              </w:rPr>
              <w:t xml:space="preserve">manifestations </w:t>
            </w:r>
            <w:r>
              <w:rPr>
                <w:rFonts w:eastAsia="Times New Roman" w:cstheme="majorHAnsi"/>
                <w:sz w:val="20"/>
                <w:szCs w:val="20"/>
                <w:lang w:val="fr-FR"/>
              </w:rPr>
              <w:t>(ventilés par sexe)</w:t>
            </w:r>
          </w:p>
          <w:p w14:paraId="4EB2684F" w14:textId="77777777"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 xml:space="preserve">Nombre de citoyens participant à des campagnes/demandes lancées sur les réseaux sociaux </w:t>
            </w:r>
            <w:r>
              <w:rPr>
                <w:rFonts w:eastAsia="Times New Roman" w:cstheme="majorHAnsi"/>
                <w:color w:val="70AD47" w:themeColor="accent6"/>
                <w:sz w:val="20"/>
                <w:szCs w:val="20"/>
                <w:lang w:val="fr-FR"/>
              </w:rPr>
              <w:t>(ventilés par sexe)</w:t>
            </w:r>
          </w:p>
          <w:p w14:paraId="2D588D38" w14:textId="06694E0E" w:rsidR="005404AE" w:rsidRPr="00BD3D80" w:rsidRDefault="005404AE" w:rsidP="0070233E">
            <w:pPr>
              <w:pStyle w:val="ListParagraph"/>
              <w:numPr>
                <w:ilvl w:val="0"/>
                <w:numId w:val="17"/>
              </w:numPr>
              <w:rPr>
                <w:sz w:val="20"/>
                <w:szCs w:val="20"/>
                <w:lang w:val="fr-FR"/>
              </w:rPr>
            </w:pPr>
            <w:r>
              <w:rPr>
                <w:rFonts w:eastAsia="Times New Roman" w:cstheme="majorHAnsi"/>
                <w:sz w:val="20"/>
                <w:szCs w:val="20"/>
                <w:lang w:val="fr-FR"/>
              </w:rPr>
              <w:t xml:space="preserve">Nombre de participants signant des pétitions </w:t>
            </w:r>
            <w:r>
              <w:rPr>
                <w:rFonts w:eastAsia="Times New Roman" w:cstheme="majorHAnsi"/>
                <w:color w:val="70AD47" w:themeColor="accent6"/>
                <w:sz w:val="20"/>
                <w:szCs w:val="20"/>
                <w:lang w:val="fr-FR"/>
              </w:rPr>
              <w:t>(ventilés par sexe)</w:t>
            </w:r>
          </w:p>
        </w:tc>
      </w:tr>
      <w:tr w:rsidR="005404AE" w:rsidRPr="00880085" w14:paraId="0188489C" w14:textId="77777777" w:rsidTr="004147E9">
        <w:trPr>
          <w:gridAfter w:val="1"/>
          <w:wAfter w:w="13" w:type="dxa"/>
        </w:trPr>
        <w:tc>
          <w:tcPr>
            <w:tcW w:w="473" w:type="dxa"/>
            <w:vMerge/>
          </w:tcPr>
          <w:p w14:paraId="46293D0C" w14:textId="77777777" w:rsidR="005404AE" w:rsidRPr="00BD3D80" w:rsidRDefault="005404AE" w:rsidP="005E526B">
            <w:pPr>
              <w:rPr>
                <w:rFonts w:eastAsia="Times New Roman" w:cstheme="majorHAnsi"/>
                <w:sz w:val="20"/>
                <w:szCs w:val="20"/>
                <w:lang w:val="fr-FR"/>
              </w:rPr>
            </w:pPr>
          </w:p>
        </w:tc>
        <w:tc>
          <w:tcPr>
            <w:tcW w:w="4200" w:type="dxa"/>
          </w:tcPr>
          <w:p w14:paraId="29B66F35" w14:textId="3874AC45" w:rsidR="005404AE" w:rsidRPr="00BD3D80" w:rsidRDefault="0070233E" w:rsidP="005E526B">
            <w:pPr>
              <w:rPr>
                <w:rFonts w:eastAsia="Times New Roman" w:cstheme="majorHAnsi"/>
                <w:sz w:val="20"/>
                <w:szCs w:val="20"/>
                <w:lang w:val="fr-FR"/>
              </w:rPr>
            </w:pPr>
            <w:r>
              <w:rPr>
                <w:rFonts w:eastAsia="Times New Roman" w:cstheme="majorHAnsi"/>
                <w:sz w:val="20"/>
                <w:szCs w:val="20"/>
                <w:lang w:val="fr-FR"/>
              </w:rPr>
              <w:t>1.1.8 Les citoyens influencent les décideurs pour les sensibiliser aux grandes questions nutritionnelles</w:t>
            </w:r>
            <w:r w:rsidR="004147E9">
              <w:rPr>
                <w:rFonts w:eastAsia="Times New Roman" w:cstheme="majorHAnsi"/>
                <w:sz w:val="20"/>
                <w:szCs w:val="20"/>
                <w:lang w:val="fr-FR"/>
              </w:rPr>
              <w:t xml:space="preserve"> </w:t>
            </w:r>
            <w:r w:rsidR="005404AE">
              <w:rPr>
                <w:rFonts w:eastAsia="Times New Roman" w:cstheme="majorHAnsi"/>
                <w:sz w:val="20"/>
                <w:szCs w:val="20"/>
                <w:lang w:val="fr-FR"/>
              </w:rPr>
              <w:t>(au niveau national et sous-national)</w:t>
            </w:r>
          </w:p>
          <w:p w14:paraId="56D506F0" w14:textId="77777777" w:rsidR="005404AE" w:rsidRPr="00BD3D80" w:rsidRDefault="005404AE" w:rsidP="005E526B">
            <w:pPr>
              <w:rPr>
                <w:rFonts w:eastAsia="Times New Roman" w:cstheme="majorHAnsi"/>
                <w:sz w:val="20"/>
                <w:szCs w:val="20"/>
                <w:lang w:val="fr-FR"/>
              </w:rPr>
            </w:pPr>
          </w:p>
          <w:p w14:paraId="4578185A" w14:textId="77777777" w:rsidR="005404AE" w:rsidRPr="00BD3D80" w:rsidRDefault="005404AE" w:rsidP="005E526B">
            <w:pPr>
              <w:rPr>
                <w:rFonts w:eastAsia="Times New Roman" w:cstheme="majorHAnsi"/>
                <w:sz w:val="20"/>
                <w:szCs w:val="20"/>
                <w:lang w:val="fr-FR"/>
              </w:rPr>
            </w:pPr>
          </w:p>
          <w:p w14:paraId="2B4B1581" w14:textId="77777777" w:rsidR="005404AE" w:rsidRPr="00BD3D80" w:rsidRDefault="005404AE" w:rsidP="005E526B">
            <w:pPr>
              <w:rPr>
                <w:rFonts w:eastAsia="Times New Roman" w:cstheme="majorHAnsi"/>
                <w:sz w:val="20"/>
                <w:szCs w:val="20"/>
                <w:lang w:val="fr-FR"/>
              </w:rPr>
            </w:pPr>
          </w:p>
        </w:tc>
        <w:tc>
          <w:tcPr>
            <w:tcW w:w="5811" w:type="dxa"/>
          </w:tcPr>
          <w:p w14:paraId="7A84C369" w14:textId="77777777"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de citoyens mobilisés</w:t>
            </w:r>
            <w:r>
              <w:rPr>
                <w:rFonts w:eastAsia="Times New Roman" w:cstheme="majorHAnsi"/>
                <w:color w:val="70AD47" w:themeColor="accent6"/>
                <w:sz w:val="20"/>
                <w:szCs w:val="20"/>
                <w:lang w:val="fr-FR"/>
              </w:rPr>
              <w:t xml:space="preserve"> (ventilés par sexe)</w:t>
            </w:r>
          </w:p>
          <w:p w14:paraId="52499345" w14:textId="19432D2F"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 xml:space="preserve">Nombre de décideurs politiques participant à des réunions avec des citoyens </w:t>
            </w:r>
            <w:r>
              <w:rPr>
                <w:rFonts w:eastAsia="Times New Roman" w:cstheme="majorHAnsi"/>
                <w:color w:val="70AD47" w:themeColor="accent6"/>
                <w:sz w:val="20"/>
                <w:szCs w:val="20"/>
                <w:lang w:val="fr-FR"/>
              </w:rPr>
              <w:t>(ventilés par sexe)</w:t>
            </w:r>
          </w:p>
          <w:p w14:paraId="6BA3AF48" w14:textId="77777777" w:rsidR="005404AE" w:rsidRPr="00BD3D80" w:rsidRDefault="005404AE" w:rsidP="0070233E">
            <w:pPr>
              <w:pStyle w:val="ListParagraph"/>
              <w:numPr>
                <w:ilvl w:val="0"/>
                <w:numId w:val="17"/>
              </w:numPr>
              <w:rPr>
                <w:sz w:val="20"/>
                <w:szCs w:val="20"/>
                <w:lang w:val="fr-FR"/>
              </w:rPr>
            </w:pPr>
            <w:r>
              <w:rPr>
                <w:rFonts w:eastAsia="Times New Roman" w:cstheme="majorHAnsi"/>
                <w:sz w:val="20"/>
                <w:szCs w:val="20"/>
                <w:lang w:val="fr-FR"/>
              </w:rPr>
              <w:t>Nombre de femmes et de jeunes issus de groupes vulnérables présentant leurs demandes aux décideurs</w:t>
            </w:r>
          </w:p>
        </w:tc>
      </w:tr>
      <w:tr w:rsidR="005404AE" w:rsidRPr="00880085" w14:paraId="6303C581" w14:textId="77777777" w:rsidTr="004147E9">
        <w:trPr>
          <w:gridAfter w:val="1"/>
          <w:wAfter w:w="13" w:type="dxa"/>
        </w:trPr>
        <w:tc>
          <w:tcPr>
            <w:tcW w:w="473" w:type="dxa"/>
            <w:vMerge/>
          </w:tcPr>
          <w:p w14:paraId="64562811" w14:textId="77777777" w:rsidR="005404AE" w:rsidRPr="00BD3D80" w:rsidRDefault="005404AE" w:rsidP="005E526B">
            <w:pPr>
              <w:rPr>
                <w:rFonts w:eastAsia="Times New Roman" w:cstheme="majorHAnsi"/>
                <w:sz w:val="20"/>
                <w:szCs w:val="20"/>
                <w:lang w:val="fr-FR"/>
              </w:rPr>
            </w:pPr>
          </w:p>
        </w:tc>
        <w:tc>
          <w:tcPr>
            <w:tcW w:w="4200" w:type="dxa"/>
          </w:tcPr>
          <w:p w14:paraId="74950579" w14:textId="462B089C" w:rsidR="005404AE" w:rsidRPr="00BD3D80" w:rsidRDefault="0070233E" w:rsidP="005E526B">
            <w:pPr>
              <w:rPr>
                <w:rFonts w:eastAsia="Times New Roman" w:cstheme="majorHAnsi"/>
                <w:sz w:val="20"/>
                <w:szCs w:val="20"/>
                <w:lang w:val="fr-FR"/>
              </w:rPr>
            </w:pPr>
            <w:r>
              <w:rPr>
                <w:rFonts w:eastAsia="Times New Roman" w:cstheme="majorHAnsi"/>
                <w:sz w:val="20"/>
                <w:szCs w:val="20"/>
                <w:lang w:val="fr-FR"/>
              </w:rPr>
              <w:t>1.1.9 Form</w:t>
            </w:r>
            <w:r w:rsidR="00E3663A">
              <w:rPr>
                <w:rFonts w:eastAsia="Times New Roman" w:cstheme="majorHAnsi"/>
                <w:sz w:val="20"/>
                <w:szCs w:val="20"/>
                <w:lang w:val="fr-FR"/>
              </w:rPr>
              <w:t>ation</w:t>
            </w:r>
            <w:r>
              <w:rPr>
                <w:rFonts w:eastAsia="Times New Roman" w:cstheme="majorHAnsi"/>
                <w:sz w:val="20"/>
                <w:szCs w:val="20"/>
                <w:lang w:val="fr-FR"/>
              </w:rPr>
              <w:t xml:space="preserve"> et sensibilis</w:t>
            </w:r>
            <w:r w:rsidR="00E3663A">
              <w:rPr>
                <w:rFonts w:eastAsia="Times New Roman" w:cstheme="majorHAnsi"/>
                <w:sz w:val="20"/>
                <w:szCs w:val="20"/>
                <w:lang w:val="fr-FR"/>
              </w:rPr>
              <w:t>ation</w:t>
            </w:r>
            <w:r>
              <w:rPr>
                <w:rFonts w:eastAsia="Times New Roman" w:cstheme="majorHAnsi"/>
                <w:sz w:val="20"/>
                <w:szCs w:val="20"/>
                <w:lang w:val="fr-FR"/>
              </w:rPr>
              <w:t xml:space="preserve"> de personnes influentes pour qu</w:t>
            </w:r>
            <w:r w:rsidR="002C54BD">
              <w:rPr>
                <w:rFonts w:eastAsia="Times New Roman" w:cstheme="majorHAnsi"/>
                <w:sz w:val="20"/>
                <w:szCs w:val="20"/>
                <w:lang w:val="fr-FR"/>
              </w:rPr>
              <w:t>’</w:t>
            </w:r>
            <w:r>
              <w:rPr>
                <w:rFonts w:eastAsia="Times New Roman" w:cstheme="majorHAnsi"/>
                <w:sz w:val="20"/>
                <w:szCs w:val="20"/>
                <w:lang w:val="fr-FR"/>
              </w:rPr>
              <w:t>elles deviennent des ambassadeurs de la nutrition</w:t>
            </w:r>
            <w:r w:rsidR="004147E9">
              <w:rPr>
                <w:rFonts w:eastAsia="Times New Roman" w:cstheme="majorHAnsi"/>
                <w:sz w:val="20"/>
                <w:szCs w:val="20"/>
                <w:lang w:val="fr-FR"/>
              </w:rPr>
              <w:t xml:space="preserve"> </w:t>
            </w:r>
            <w:r w:rsidR="005404AE">
              <w:rPr>
                <w:rFonts w:eastAsia="Times New Roman" w:cstheme="majorHAnsi"/>
                <w:sz w:val="20"/>
                <w:szCs w:val="20"/>
                <w:lang w:val="fr-FR"/>
              </w:rPr>
              <w:t>(au niveau national et sous-national)</w:t>
            </w:r>
          </w:p>
          <w:p w14:paraId="13FFEE38" w14:textId="77777777" w:rsidR="005404AE" w:rsidRPr="00BD3D80" w:rsidRDefault="005404AE" w:rsidP="005E526B">
            <w:pPr>
              <w:rPr>
                <w:rFonts w:eastAsia="Times New Roman" w:cstheme="majorHAnsi"/>
                <w:sz w:val="20"/>
                <w:szCs w:val="20"/>
                <w:lang w:val="fr-FR"/>
              </w:rPr>
            </w:pPr>
          </w:p>
          <w:p w14:paraId="5C62862D" w14:textId="77777777" w:rsidR="005404AE" w:rsidRPr="00BD3D80" w:rsidRDefault="005404AE" w:rsidP="005E526B">
            <w:pPr>
              <w:rPr>
                <w:rFonts w:eastAsia="Times New Roman" w:cstheme="majorHAnsi"/>
                <w:sz w:val="20"/>
                <w:szCs w:val="20"/>
                <w:lang w:val="fr-FR"/>
              </w:rPr>
            </w:pPr>
          </w:p>
        </w:tc>
        <w:tc>
          <w:tcPr>
            <w:tcW w:w="5811" w:type="dxa"/>
          </w:tcPr>
          <w:p w14:paraId="4AC25027" w14:textId="77777777"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de personnes formées/sensibilisées (ventilées par sexe et type (par exemple, parlementaires, communauté, artistes, etc.))</w:t>
            </w:r>
          </w:p>
          <w:p w14:paraId="1B89BFE9" w14:textId="2A40E82A"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 xml:space="preserve">interventions mises en œuvre par les ambassadeurs </w:t>
            </w:r>
          </w:p>
          <w:p w14:paraId="0E941C06" w14:textId="77777777" w:rsidR="005404AE" w:rsidRPr="00BD3D80" w:rsidRDefault="005404AE" w:rsidP="005E526B">
            <w:pPr>
              <w:rPr>
                <w:sz w:val="20"/>
                <w:szCs w:val="20"/>
                <w:lang w:val="fr-FR"/>
              </w:rPr>
            </w:pPr>
          </w:p>
        </w:tc>
      </w:tr>
      <w:tr w:rsidR="005404AE" w:rsidRPr="00880085" w14:paraId="38F1F696" w14:textId="77777777" w:rsidTr="004147E9">
        <w:trPr>
          <w:gridAfter w:val="1"/>
          <w:wAfter w:w="13" w:type="dxa"/>
        </w:trPr>
        <w:tc>
          <w:tcPr>
            <w:tcW w:w="473" w:type="dxa"/>
            <w:vMerge/>
          </w:tcPr>
          <w:p w14:paraId="22BCCFF7" w14:textId="77777777" w:rsidR="005404AE" w:rsidRPr="00BD3D80" w:rsidRDefault="005404AE" w:rsidP="005E526B">
            <w:pPr>
              <w:rPr>
                <w:rFonts w:eastAsia="Times New Roman" w:cstheme="majorHAnsi"/>
                <w:sz w:val="20"/>
                <w:szCs w:val="20"/>
                <w:lang w:val="fr-FR"/>
              </w:rPr>
            </w:pPr>
          </w:p>
        </w:tc>
        <w:tc>
          <w:tcPr>
            <w:tcW w:w="4200" w:type="dxa"/>
          </w:tcPr>
          <w:p w14:paraId="4082F200" w14:textId="4F821F86" w:rsidR="005404AE" w:rsidRPr="00BD3D80" w:rsidRDefault="0070233E" w:rsidP="005E526B">
            <w:pPr>
              <w:rPr>
                <w:rFonts w:eastAsia="Times New Roman" w:cstheme="majorHAnsi"/>
                <w:sz w:val="20"/>
                <w:szCs w:val="20"/>
                <w:lang w:val="fr-FR"/>
              </w:rPr>
            </w:pPr>
            <w:r>
              <w:rPr>
                <w:rFonts w:eastAsia="Times New Roman" w:cstheme="majorHAnsi"/>
                <w:sz w:val="20"/>
                <w:szCs w:val="20"/>
                <w:lang w:val="fr-FR"/>
              </w:rPr>
              <w:t xml:space="preserve">1.1.10 Activités de campagne au cours de la période </w:t>
            </w:r>
            <w:r w:rsidR="00E3663A">
              <w:rPr>
                <w:rFonts w:eastAsia="Times New Roman" w:cstheme="majorHAnsi"/>
                <w:sz w:val="20"/>
                <w:szCs w:val="20"/>
                <w:lang w:val="fr-FR"/>
              </w:rPr>
              <w:t>précédant</w:t>
            </w:r>
            <w:r>
              <w:rPr>
                <w:rFonts w:eastAsia="Times New Roman" w:cstheme="majorHAnsi"/>
                <w:sz w:val="20"/>
                <w:szCs w:val="20"/>
                <w:lang w:val="fr-FR"/>
              </w:rPr>
              <w:t xml:space="preserve"> les élections afin de faire pression pour que les candidats incluent dans leur programme électoral des engagements en faveur de la nutrition (au niveau national ou infranational)</w:t>
            </w:r>
          </w:p>
          <w:p w14:paraId="7A8AB779" w14:textId="77777777" w:rsidR="005404AE" w:rsidRPr="00BD3D80" w:rsidRDefault="005404AE" w:rsidP="005E526B">
            <w:pPr>
              <w:rPr>
                <w:rFonts w:eastAsia="Times New Roman" w:cstheme="majorHAnsi"/>
                <w:sz w:val="20"/>
                <w:szCs w:val="20"/>
                <w:lang w:val="fr-FR"/>
              </w:rPr>
            </w:pPr>
          </w:p>
          <w:p w14:paraId="36AD961E" w14:textId="77777777" w:rsidR="005404AE" w:rsidRPr="00BD3D80" w:rsidRDefault="005404AE" w:rsidP="005E526B">
            <w:pPr>
              <w:rPr>
                <w:rFonts w:eastAsia="Times New Roman" w:cstheme="majorHAnsi"/>
                <w:sz w:val="20"/>
                <w:szCs w:val="20"/>
                <w:lang w:val="fr-FR"/>
              </w:rPr>
            </w:pPr>
          </w:p>
          <w:p w14:paraId="3C64CBCC" w14:textId="77777777" w:rsidR="005404AE" w:rsidRPr="00BD3D80" w:rsidRDefault="005404AE" w:rsidP="005E526B">
            <w:pPr>
              <w:rPr>
                <w:rFonts w:eastAsia="Times New Roman" w:cstheme="majorHAnsi"/>
                <w:sz w:val="20"/>
                <w:szCs w:val="20"/>
                <w:lang w:val="fr-FR"/>
              </w:rPr>
            </w:pPr>
          </w:p>
        </w:tc>
        <w:tc>
          <w:tcPr>
            <w:tcW w:w="5811" w:type="dxa"/>
          </w:tcPr>
          <w:p w14:paraId="01EB3538" w14:textId="77777777"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de messages dans les programmes électoraux</w:t>
            </w:r>
          </w:p>
          <w:p w14:paraId="37654C3B" w14:textId="74EFD5B9" w:rsidR="005404AE" w:rsidRPr="00E3663A"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événements publics entrepris</w:t>
            </w:r>
          </w:p>
          <w:p w14:paraId="6B6C4657" w14:textId="77777777" w:rsidR="005E695A" w:rsidRPr="00BD3D80" w:rsidRDefault="005404AE" w:rsidP="004147E9">
            <w:pPr>
              <w:pStyle w:val="ListParagraph"/>
              <w:numPr>
                <w:ilvl w:val="0"/>
                <w:numId w:val="17"/>
              </w:numPr>
              <w:ind w:hanging="399"/>
              <w:rPr>
                <w:rFonts w:eastAsia="Times New Roman" w:cstheme="majorHAnsi"/>
                <w:sz w:val="20"/>
                <w:szCs w:val="20"/>
                <w:lang w:val="fr-FR"/>
              </w:rPr>
            </w:pPr>
            <w:r>
              <w:rPr>
                <w:rFonts w:eastAsia="Times New Roman" w:cstheme="majorHAnsi"/>
                <w:sz w:val="20"/>
                <w:szCs w:val="20"/>
                <w:lang w:val="fr-FR"/>
              </w:rPr>
              <w:t>Nombre de décideurs politiques/leaders impliqués</w:t>
            </w:r>
          </w:p>
          <w:p w14:paraId="2772ED21" w14:textId="4D1E6039" w:rsidR="005404AE" w:rsidRPr="00BD3D80" w:rsidRDefault="005404AE" w:rsidP="004147E9">
            <w:pPr>
              <w:pStyle w:val="ListParagraph"/>
              <w:numPr>
                <w:ilvl w:val="0"/>
                <w:numId w:val="17"/>
              </w:numPr>
              <w:ind w:hanging="399"/>
              <w:rPr>
                <w:rFonts w:eastAsia="Times New Roman" w:cstheme="majorHAnsi"/>
                <w:sz w:val="20"/>
                <w:szCs w:val="20"/>
                <w:lang w:val="fr-FR"/>
              </w:rPr>
            </w:pPr>
            <w:r>
              <w:rPr>
                <w:rFonts w:eastAsia="Times New Roman" w:cstheme="majorHAnsi"/>
                <w:sz w:val="20"/>
                <w:szCs w:val="20"/>
                <w:lang w:val="fr-FR"/>
              </w:rPr>
              <w:t>Nombre de citoyens soutenant l</w:t>
            </w:r>
            <w:r w:rsidR="002C54BD">
              <w:rPr>
                <w:rFonts w:eastAsia="Times New Roman" w:cstheme="majorHAnsi"/>
                <w:sz w:val="20"/>
                <w:szCs w:val="20"/>
                <w:lang w:val="fr-FR"/>
              </w:rPr>
              <w:t>’</w:t>
            </w:r>
            <w:r>
              <w:rPr>
                <w:rFonts w:eastAsia="Times New Roman" w:cstheme="majorHAnsi"/>
                <w:sz w:val="20"/>
                <w:szCs w:val="20"/>
                <w:lang w:val="fr-FR"/>
              </w:rPr>
              <w:t>initiative (ventilés par sexe)</w:t>
            </w:r>
          </w:p>
          <w:p w14:paraId="7EFFDDEE" w14:textId="5CD604F8" w:rsidR="005404AE" w:rsidRPr="00E3663A"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de membres de la société civile et d</w:t>
            </w:r>
            <w:r w:rsidR="002C54BD">
              <w:rPr>
                <w:rFonts w:eastAsia="Times New Roman" w:cstheme="majorHAnsi"/>
                <w:sz w:val="20"/>
                <w:szCs w:val="20"/>
                <w:lang w:val="fr-FR"/>
              </w:rPr>
              <w:t>’</w:t>
            </w:r>
            <w:r>
              <w:rPr>
                <w:rFonts w:eastAsia="Times New Roman" w:cstheme="majorHAnsi"/>
                <w:sz w:val="20"/>
                <w:szCs w:val="20"/>
                <w:lang w:val="fr-FR"/>
              </w:rPr>
              <w:t>autres parties prenantes soutenant l</w:t>
            </w:r>
            <w:r w:rsidR="002C54BD">
              <w:rPr>
                <w:rFonts w:eastAsia="Times New Roman" w:cstheme="majorHAnsi"/>
                <w:sz w:val="20"/>
                <w:szCs w:val="20"/>
                <w:lang w:val="fr-FR"/>
              </w:rPr>
              <w:t>’</w:t>
            </w:r>
            <w:r>
              <w:rPr>
                <w:rFonts w:eastAsia="Times New Roman" w:cstheme="majorHAnsi"/>
                <w:sz w:val="20"/>
                <w:szCs w:val="20"/>
                <w:lang w:val="fr-FR"/>
              </w:rPr>
              <w:t>initiative</w:t>
            </w:r>
          </w:p>
        </w:tc>
      </w:tr>
      <w:tr w:rsidR="005404AE" w:rsidRPr="00880085" w14:paraId="7C2CCE4C" w14:textId="77777777" w:rsidTr="004147E9">
        <w:trPr>
          <w:gridAfter w:val="1"/>
          <w:wAfter w:w="13" w:type="dxa"/>
          <w:trHeight w:val="686"/>
        </w:trPr>
        <w:tc>
          <w:tcPr>
            <w:tcW w:w="473" w:type="dxa"/>
            <w:vMerge/>
          </w:tcPr>
          <w:p w14:paraId="358DAD89" w14:textId="77777777" w:rsidR="005404AE" w:rsidRPr="00BD3D80" w:rsidRDefault="005404AE" w:rsidP="005E526B">
            <w:pPr>
              <w:rPr>
                <w:rFonts w:eastAsia="Times New Roman" w:cstheme="majorHAnsi"/>
                <w:sz w:val="20"/>
                <w:szCs w:val="20"/>
                <w:lang w:val="fr-FR"/>
              </w:rPr>
            </w:pPr>
          </w:p>
        </w:tc>
        <w:tc>
          <w:tcPr>
            <w:tcW w:w="4200" w:type="dxa"/>
          </w:tcPr>
          <w:p w14:paraId="20AD417B" w14:textId="4C51A066" w:rsidR="005404AE" w:rsidRPr="00BD3D80" w:rsidRDefault="0070233E" w:rsidP="005E526B">
            <w:pPr>
              <w:rPr>
                <w:rFonts w:eastAsia="Times New Roman" w:cstheme="majorHAnsi"/>
                <w:sz w:val="20"/>
                <w:szCs w:val="20"/>
                <w:lang w:val="fr-FR"/>
              </w:rPr>
            </w:pPr>
            <w:r>
              <w:rPr>
                <w:rFonts w:eastAsia="Times New Roman" w:cstheme="majorHAnsi"/>
                <w:sz w:val="20"/>
                <w:szCs w:val="20"/>
                <w:lang w:val="fr-FR"/>
              </w:rPr>
              <w:t>1.1.1</w:t>
            </w:r>
            <w:r w:rsidR="00E3663A">
              <w:rPr>
                <w:rFonts w:eastAsia="Times New Roman" w:cstheme="majorHAnsi"/>
                <w:sz w:val="20"/>
                <w:szCs w:val="20"/>
                <w:lang w:val="fr-FR"/>
              </w:rPr>
              <w:t>1</w:t>
            </w:r>
            <w:r>
              <w:rPr>
                <w:rFonts w:eastAsia="Times New Roman" w:cstheme="majorHAnsi"/>
                <w:sz w:val="20"/>
                <w:szCs w:val="20"/>
                <w:lang w:val="fr-FR"/>
              </w:rPr>
              <w:t xml:space="preserve"> Les citoyens, principalement des femmes, des enfants, des adolescents des personnes vulnérables et marginalisées participent à des campagnes et à des formations visant à modifier les comportements, au sujet de leur droit à l</w:t>
            </w:r>
            <w:r w:rsidR="002C54BD">
              <w:rPr>
                <w:rFonts w:eastAsia="Times New Roman" w:cstheme="majorHAnsi"/>
                <w:sz w:val="20"/>
                <w:szCs w:val="20"/>
                <w:lang w:val="fr-FR"/>
              </w:rPr>
              <w:t>’</w:t>
            </w:r>
            <w:r>
              <w:rPr>
                <w:rFonts w:eastAsia="Times New Roman" w:cstheme="majorHAnsi"/>
                <w:sz w:val="20"/>
                <w:szCs w:val="20"/>
                <w:lang w:val="fr-FR"/>
              </w:rPr>
              <w:t>alimentation et à la nutrition et à participer aux processus politiques.</w:t>
            </w:r>
          </w:p>
        </w:tc>
        <w:tc>
          <w:tcPr>
            <w:tcW w:w="5811" w:type="dxa"/>
          </w:tcPr>
          <w:p w14:paraId="31B5BFAF" w14:textId="77BC7A92"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de citoyens ventilés par sexe et par lieu participant aux formations (ventilé</w:t>
            </w:r>
            <w:r w:rsidR="00593291">
              <w:rPr>
                <w:rFonts w:eastAsia="Times New Roman" w:cstheme="majorHAnsi"/>
                <w:sz w:val="20"/>
                <w:szCs w:val="20"/>
                <w:lang w:val="fr-FR"/>
              </w:rPr>
              <w:t>e</w:t>
            </w:r>
            <w:r>
              <w:rPr>
                <w:rFonts w:eastAsia="Times New Roman" w:cstheme="majorHAnsi"/>
                <w:sz w:val="20"/>
                <w:szCs w:val="20"/>
                <w:lang w:val="fr-FR"/>
              </w:rPr>
              <w:t>s par thème/objectif de la formation)</w:t>
            </w:r>
          </w:p>
          <w:p w14:paraId="09115190" w14:textId="1C1E06C1" w:rsidR="005404AE" w:rsidRPr="00BD3D80" w:rsidRDefault="005404AE" w:rsidP="0070233E">
            <w:pPr>
              <w:pStyle w:val="ListParagraph"/>
              <w:numPr>
                <w:ilvl w:val="0"/>
                <w:numId w:val="17"/>
              </w:numPr>
              <w:rPr>
                <w:sz w:val="20"/>
                <w:szCs w:val="20"/>
                <w:lang w:val="fr-FR"/>
              </w:rPr>
            </w:pPr>
            <w:r>
              <w:rPr>
                <w:rFonts w:eastAsia="Times New Roman" w:cstheme="majorHAnsi"/>
                <w:sz w:val="20"/>
                <w:szCs w:val="20"/>
                <w:lang w:val="fr-FR"/>
              </w:rPr>
              <w:t>Nombre de citoyens ventilés par sexe participant aux campagnes visant à modifier les comportements (ventilé</w:t>
            </w:r>
            <w:r w:rsidR="008D467A">
              <w:rPr>
                <w:rFonts w:eastAsia="Times New Roman" w:cstheme="majorHAnsi"/>
                <w:sz w:val="20"/>
                <w:szCs w:val="20"/>
                <w:lang w:val="fr-FR"/>
              </w:rPr>
              <w:t>e</w:t>
            </w:r>
            <w:r>
              <w:rPr>
                <w:rFonts w:eastAsia="Times New Roman" w:cstheme="majorHAnsi"/>
                <w:sz w:val="20"/>
                <w:szCs w:val="20"/>
                <w:lang w:val="fr-FR"/>
              </w:rPr>
              <w:t>s par thème/objectif de la formation)</w:t>
            </w:r>
          </w:p>
          <w:p w14:paraId="248778AA" w14:textId="2F9EC8E4" w:rsidR="001C136D" w:rsidRPr="00BD3D80" w:rsidRDefault="001C136D" w:rsidP="0070233E">
            <w:pPr>
              <w:pStyle w:val="ListParagraph"/>
              <w:numPr>
                <w:ilvl w:val="0"/>
                <w:numId w:val="17"/>
              </w:numPr>
              <w:rPr>
                <w:sz w:val="20"/>
                <w:szCs w:val="20"/>
                <w:lang w:val="fr-FR"/>
              </w:rPr>
            </w:pPr>
            <w:r>
              <w:rPr>
                <w:sz w:val="20"/>
                <w:szCs w:val="20"/>
                <w:lang w:val="fr-FR"/>
              </w:rPr>
              <w:t>Nombre de manifestations (nationales ou infranationales) organisées sur le droit à l</w:t>
            </w:r>
            <w:r w:rsidR="002C54BD">
              <w:rPr>
                <w:sz w:val="20"/>
                <w:szCs w:val="20"/>
                <w:lang w:val="fr-FR"/>
              </w:rPr>
              <w:t>’</w:t>
            </w:r>
            <w:r>
              <w:rPr>
                <w:sz w:val="20"/>
                <w:szCs w:val="20"/>
                <w:lang w:val="fr-FR"/>
              </w:rPr>
              <w:t xml:space="preserve">alimentation et le droit à participer aux processus politiques des citoyens, principalement </w:t>
            </w:r>
            <w:r w:rsidR="006938D1">
              <w:rPr>
                <w:sz w:val="20"/>
                <w:szCs w:val="20"/>
                <w:lang w:val="fr-FR"/>
              </w:rPr>
              <w:t>d</w:t>
            </w:r>
            <w:r>
              <w:rPr>
                <w:sz w:val="20"/>
                <w:szCs w:val="20"/>
                <w:lang w:val="fr-FR"/>
              </w:rPr>
              <w:t xml:space="preserve">es femmes, </w:t>
            </w:r>
            <w:r w:rsidR="006938D1">
              <w:rPr>
                <w:sz w:val="20"/>
                <w:szCs w:val="20"/>
                <w:lang w:val="fr-FR"/>
              </w:rPr>
              <w:t>d</w:t>
            </w:r>
            <w:r>
              <w:rPr>
                <w:sz w:val="20"/>
                <w:szCs w:val="20"/>
                <w:lang w:val="fr-FR"/>
              </w:rPr>
              <w:t xml:space="preserve">es enfants, </w:t>
            </w:r>
            <w:r w:rsidR="006938D1">
              <w:rPr>
                <w:sz w:val="20"/>
                <w:szCs w:val="20"/>
                <w:lang w:val="fr-FR"/>
              </w:rPr>
              <w:t>d</w:t>
            </w:r>
            <w:r>
              <w:rPr>
                <w:sz w:val="20"/>
                <w:szCs w:val="20"/>
                <w:lang w:val="fr-FR"/>
              </w:rPr>
              <w:t xml:space="preserve">es adolescents, </w:t>
            </w:r>
            <w:r w:rsidR="006938D1">
              <w:rPr>
                <w:sz w:val="20"/>
                <w:szCs w:val="20"/>
                <w:lang w:val="fr-FR"/>
              </w:rPr>
              <w:t>d</w:t>
            </w:r>
            <w:r>
              <w:rPr>
                <w:sz w:val="20"/>
                <w:szCs w:val="20"/>
                <w:lang w:val="fr-FR"/>
              </w:rPr>
              <w:t>es personnes vulnérables et marginalisées</w:t>
            </w:r>
          </w:p>
        </w:tc>
      </w:tr>
      <w:tr w:rsidR="005404AE" w:rsidRPr="00880085" w14:paraId="7A08AE38" w14:textId="77777777" w:rsidTr="004147E9">
        <w:trPr>
          <w:gridAfter w:val="1"/>
          <w:wAfter w:w="13" w:type="dxa"/>
        </w:trPr>
        <w:tc>
          <w:tcPr>
            <w:tcW w:w="473" w:type="dxa"/>
          </w:tcPr>
          <w:p w14:paraId="5DF330D2" w14:textId="77777777" w:rsidR="005404AE" w:rsidRPr="00BD3D80" w:rsidRDefault="005404AE" w:rsidP="005E526B">
            <w:pPr>
              <w:rPr>
                <w:rFonts w:eastAsia="Times New Roman" w:cstheme="majorHAnsi"/>
                <w:sz w:val="20"/>
                <w:szCs w:val="20"/>
                <w:lang w:val="fr-FR"/>
              </w:rPr>
            </w:pPr>
          </w:p>
        </w:tc>
        <w:tc>
          <w:tcPr>
            <w:tcW w:w="4200" w:type="dxa"/>
          </w:tcPr>
          <w:p w14:paraId="55A4C1D4" w14:textId="77777777" w:rsidR="005404AE" w:rsidRPr="00BD3D80" w:rsidRDefault="005404AE" w:rsidP="005E526B">
            <w:pPr>
              <w:rPr>
                <w:rFonts w:eastAsia="Times New Roman" w:cstheme="majorHAnsi"/>
                <w:sz w:val="20"/>
                <w:szCs w:val="20"/>
                <w:lang w:val="fr-FR"/>
              </w:rPr>
            </w:pPr>
          </w:p>
        </w:tc>
        <w:tc>
          <w:tcPr>
            <w:tcW w:w="5811" w:type="dxa"/>
          </w:tcPr>
          <w:p w14:paraId="2CACBE2E" w14:textId="77777777" w:rsidR="005404AE" w:rsidRPr="00BD3D80" w:rsidRDefault="005404AE" w:rsidP="005E695A">
            <w:pPr>
              <w:rPr>
                <w:sz w:val="20"/>
                <w:szCs w:val="20"/>
                <w:lang w:val="fr-FR"/>
              </w:rPr>
            </w:pPr>
          </w:p>
        </w:tc>
      </w:tr>
      <w:tr w:rsidR="005404AE" w:rsidRPr="00880085" w14:paraId="697A1BFC" w14:textId="77777777" w:rsidTr="004147E9">
        <w:trPr>
          <w:gridAfter w:val="1"/>
          <w:wAfter w:w="13" w:type="dxa"/>
        </w:trPr>
        <w:tc>
          <w:tcPr>
            <w:tcW w:w="473" w:type="dxa"/>
            <w:vMerge w:val="restart"/>
            <w:textDirection w:val="btLr"/>
          </w:tcPr>
          <w:p w14:paraId="3A108D6F" w14:textId="49BD67C8" w:rsidR="005404AE" w:rsidRPr="0070233E" w:rsidRDefault="005404AE" w:rsidP="005E526B">
            <w:pPr>
              <w:ind w:left="113" w:right="113"/>
              <w:jc w:val="center"/>
              <w:rPr>
                <w:rFonts w:eastAsia="Times New Roman" w:cstheme="majorHAnsi"/>
                <w:b/>
                <w:sz w:val="20"/>
                <w:szCs w:val="20"/>
              </w:rPr>
            </w:pPr>
            <w:r>
              <w:rPr>
                <w:rFonts w:eastAsia="Times New Roman" w:cstheme="majorHAnsi"/>
                <w:b/>
                <w:bCs/>
                <w:sz w:val="20"/>
                <w:szCs w:val="20"/>
                <w:lang w:val="fr-FR"/>
              </w:rPr>
              <w:t>Résultat intermédiaire</w:t>
            </w:r>
            <w:r w:rsidR="002C54BD">
              <w:rPr>
                <w:rFonts w:eastAsia="Times New Roman" w:cstheme="majorHAnsi"/>
                <w:b/>
                <w:bCs/>
                <w:sz w:val="20"/>
                <w:szCs w:val="20"/>
                <w:lang w:val="fr-FR"/>
              </w:rPr>
              <w:t> </w:t>
            </w:r>
            <w:r>
              <w:rPr>
                <w:rFonts w:eastAsia="Times New Roman" w:cstheme="majorHAnsi"/>
                <w:b/>
                <w:bCs/>
                <w:sz w:val="20"/>
                <w:szCs w:val="20"/>
                <w:lang w:val="fr-FR"/>
              </w:rPr>
              <w:t>1.2</w:t>
            </w:r>
          </w:p>
        </w:tc>
        <w:tc>
          <w:tcPr>
            <w:tcW w:w="4200" w:type="dxa"/>
          </w:tcPr>
          <w:p w14:paraId="280EB52A" w14:textId="44585837" w:rsidR="005404AE" w:rsidRPr="00BD3D80" w:rsidRDefault="0070233E" w:rsidP="005E526B">
            <w:pPr>
              <w:rPr>
                <w:rFonts w:eastAsia="Times New Roman" w:cstheme="majorHAnsi"/>
                <w:sz w:val="20"/>
                <w:szCs w:val="20"/>
                <w:lang w:val="fr-FR"/>
              </w:rPr>
            </w:pPr>
            <w:r>
              <w:rPr>
                <w:sz w:val="20"/>
                <w:szCs w:val="20"/>
                <w:lang w:val="fr-FR"/>
              </w:rPr>
              <w:t xml:space="preserve">1.2.1 </w:t>
            </w:r>
            <w:r w:rsidR="006938D1">
              <w:rPr>
                <w:sz w:val="20"/>
                <w:szCs w:val="20"/>
                <w:lang w:val="fr-FR"/>
              </w:rPr>
              <w:t>A</w:t>
            </w:r>
            <w:r>
              <w:rPr>
                <w:sz w:val="20"/>
                <w:szCs w:val="20"/>
                <w:lang w:val="fr-FR"/>
              </w:rPr>
              <w:t xml:space="preserve">mbassadeurs parlementaires de la nutrition et </w:t>
            </w:r>
            <w:r w:rsidR="00286E90">
              <w:rPr>
                <w:sz w:val="20"/>
                <w:szCs w:val="20"/>
                <w:lang w:val="fr-FR"/>
              </w:rPr>
              <w:t>influenceurs clés</w:t>
            </w:r>
            <w:r>
              <w:rPr>
                <w:sz w:val="20"/>
                <w:szCs w:val="20"/>
                <w:lang w:val="fr-FR"/>
              </w:rPr>
              <w:t xml:space="preserve"> (par exemple, chefs religieux, célébrités, représentants des communautés concernées) </w:t>
            </w:r>
            <w:r w:rsidR="006938D1">
              <w:rPr>
                <w:sz w:val="20"/>
                <w:szCs w:val="20"/>
                <w:lang w:val="fr-FR"/>
              </w:rPr>
              <w:t xml:space="preserve">qui, </w:t>
            </w:r>
            <w:r>
              <w:rPr>
                <w:sz w:val="20"/>
                <w:szCs w:val="20"/>
                <w:lang w:val="fr-FR"/>
              </w:rPr>
              <w:t>grâce au travail des ASC</w:t>
            </w:r>
            <w:r w:rsidR="006938D1">
              <w:rPr>
                <w:sz w:val="20"/>
                <w:szCs w:val="20"/>
                <w:lang w:val="fr-FR"/>
              </w:rPr>
              <w:t xml:space="preserve">, ont pu </w:t>
            </w:r>
            <w:r>
              <w:rPr>
                <w:sz w:val="20"/>
                <w:szCs w:val="20"/>
                <w:lang w:val="fr-FR"/>
              </w:rPr>
              <w:t>accroître le profil de la nutrition et</w:t>
            </w:r>
            <w:r w:rsidR="006938D1">
              <w:rPr>
                <w:sz w:val="20"/>
                <w:szCs w:val="20"/>
                <w:lang w:val="fr-FR"/>
              </w:rPr>
              <w:t xml:space="preserve"> </w:t>
            </w:r>
            <w:r>
              <w:rPr>
                <w:sz w:val="20"/>
                <w:szCs w:val="20"/>
                <w:lang w:val="fr-FR"/>
              </w:rPr>
              <w:t xml:space="preserve">influencer les législations et les politiques, la planification et la budgétisation de la nutrition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tc>
        <w:tc>
          <w:tcPr>
            <w:tcW w:w="5811" w:type="dxa"/>
          </w:tcPr>
          <w:p w14:paraId="5748DDEE" w14:textId="638DC63F" w:rsidR="005404AE" w:rsidRPr="00BD3D80" w:rsidRDefault="005404AE" w:rsidP="0070233E">
            <w:pPr>
              <w:pStyle w:val="ListParagraph"/>
              <w:numPr>
                <w:ilvl w:val="0"/>
                <w:numId w:val="17"/>
              </w:numPr>
              <w:tabs>
                <w:tab w:val="left" w:pos="884"/>
                <w:tab w:val="right" w:pos="3294"/>
              </w:tabs>
              <w:spacing w:before="60" w:after="60"/>
              <w:contextualSpacing w:val="0"/>
              <w:jc w:val="left"/>
              <w:rPr>
                <w:sz w:val="20"/>
                <w:szCs w:val="20"/>
                <w:lang w:val="fr-FR"/>
              </w:rPr>
            </w:pPr>
            <w:r>
              <w:rPr>
                <w:sz w:val="20"/>
                <w:szCs w:val="20"/>
                <w:lang w:val="fr-FR"/>
              </w:rPr>
              <w:t>Nombre d</w:t>
            </w:r>
            <w:r w:rsidR="002C54BD">
              <w:rPr>
                <w:sz w:val="20"/>
                <w:szCs w:val="20"/>
                <w:lang w:val="fr-FR"/>
              </w:rPr>
              <w:t>’</w:t>
            </w:r>
            <w:r>
              <w:rPr>
                <w:sz w:val="20"/>
                <w:szCs w:val="20"/>
                <w:lang w:val="fr-FR"/>
              </w:rPr>
              <w:t>ambassadeurs parlementaires et d</w:t>
            </w:r>
            <w:r w:rsidR="002C54BD">
              <w:rPr>
                <w:sz w:val="20"/>
                <w:szCs w:val="20"/>
                <w:lang w:val="fr-FR"/>
              </w:rPr>
              <w:t>’</w:t>
            </w:r>
            <w:r>
              <w:rPr>
                <w:sz w:val="20"/>
                <w:szCs w:val="20"/>
                <w:lang w:val="fr-FR"/>
              </w:rPr>
              <w:t>influenceurs clés qui parlent de la nutrition dans les processus décisionnels clés liés à la législation, à l</w:t>
            </w:r>
            <w:r w:rsidR="002C54BD">
              <w:rPr>
                <w:sz w:val="20"/>
                <w:szCs w:val="20"/>
                <w:lang w:val="fr-FR"/>
              </w:rPr>
              <w:t>’</w:t>
            </w:r>
            <w:r>
              <w:rPr>
                <w:sz w:val="20"/>
                <w:szCs w:val="20"/>
                <w:lang w:val="fr-FR"/>
              </w:rPr>
              <w:t xml:space="preserve">élaboration des politiques, à la planification et à la budgétisation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2176CCDA" w14:textId="3ED42F6B" w:rsidR="005404AE" w:rsidRPr="00BD3D80" w:rsidRDefault="005404AE" w:rsidP="0070233E">
            <w:pPr>
              <w:pStyle w:val="ListParagraph"/>
              <w:numPr>
                <w:ilvl w:val="0"/>
                <w:numId w:val="17"/>
              </w:numPr>
              <w:tabs>
                <w:tab w:val="left" w:pos="884"/>
                <w:tab w:val="right" w:pos="3294"/>
              </w:tabs>
              <w:spacing w:before="60" w:after="60"/>
              <w:contextualSpacing w:val="0"/>
              <w:jc w:val="left"/>
              <w:rPr>
                <w:sz w:val="20"/>
                <w:szCs w:val="20"/>
                <w:lang w:val="fr-FR"/>
              </w:rPr>
            </w:pPr>
            <w:r>
              <w:rPr>
                <w:sz w:val="20"/>
                <w:szCs w:val="20"/>
                <w:lang w:val="fr-FR"/>
              </w:rPr>
              <w:t>Nombre d</w:t>
            </w:r>
            <w:r w:rsidR="002C54BD">
              <w:rPr>
                <w:sz w:val="20"/>
                <w:szCs w:val="20"/>
                <w:lang w:val="fr-FR"/>
              </w:rPr>
              <w:t>’</w:t>
            </w:r>
            <w:r>
              <w:rPr>
                <w:sz w:val="20"/>
                <w:szCs w:val="20"/>
                <w:lang w:val="fr-FR"/>
              </w:rPr>
              <w:t>audiences et d</w:t>
            </w:r>
            <w:r w:rsidR="002C54BD">
              <w:rPr>
                <w:sz w:val="20"/>
                <w:szCs w:val="20"/>
                <w:lang w:val="fr-FR"/>
              </w:rPr>
              <w:t>’</w:t>
            </w:r>
            <w:r>
              <w:rPr>
                <w:sz w:val="20"/>
                <w:szCs w:val="20"/>
                <w:lang w:val="fr-FR"/>
              </w:rPr>
              <w:t xml:space="preserve">engagements parlementaires sur les questions de nutrition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659D956B" w14:textId="4A391BE4" w:rsidR="005404AE" w:rsidRPr="00BD3D80" w:rsidRDefault="005404AE" w:rsidP="00D57192">
            <w:pPr>
              <w:pStyle w:val="ListParagraph"/>
              <w:numPr>
                <w:ilvl w:val="0"/>
                <w:numId w:val="17"/>
              </w:numPr>
              <w:rPr>
                <w:sz w:val="20"/>
                <w:szCs w:val="20"/>
                <w:lang w:val="fr-FR"/>
              </w:rPr>
            </w:pPr>
            <w:r>
              <w:rPr>
                <w:sz w:val="20"/>
                <w:szCs w:val="20"/>
                <w:lang w:val="fr-FR"/>
              </w:rPr>
              <w:t>Nombre de contributions à des programmes/plateformes politiques</w:t>
            </w:r>
            <w:r w:rsidR="00C26CAB">
              <w:rPr>
                <w:sz w:val="20"/>
                <w:szCs w:val="20"/>
                <w:lang w:val="fr-FR"/>
              </w:rPr>
              <w:t xml:space="preserve"> </w:t>
            </w:r>
            <w:r>
              <w:rPr>
                <w:sz w:val="20"/>
                <w:szCs w:val="20"/>
                <w:lang w:val="fr-FR"/>
              </w:rPr>
              <w:t>qui comprennent des engagements en matière de nutrition avec le concours d</w:t>
            </w:r>
            <w:r w:rsidR="002C54BD">
              <w:rPr>
                <w:sz w:val="20"/>
                <w:szCs w:val="20"/>
                <w:lang w:val="fr-FR"/>
              </w:rPr>
              <w:t>’</w:t>
            </w:r>
            <w:r>
              <w:rPr>
                <w:sz w:val="20"/>
                <w:szCs w:val="20"/>
                <w:lang w:val="fr-FR"/>
              </w:rPr>
              <w:t>A</w:t>
            </w:r>
            <w:r w:rsidR="00286E90">
              <w:rPr>
                <w:sz w:val="20"/>
                <w:szCs w:val="20"/>
                <w:lang w:val="fr-FR"/>
              </w:rPr>
              <w:t xml:space="preserve">SC </w:t>
            </w:r>
            <w:r>
              <w:rPr>
                <w:sz w:val="20"/>
                <w:szCs w:val="20"/>
                <w:lang w:val="fr-FR"/>
              </w:rPr>
              <w:t xml:space="preserve">du </w:t>
            </w:r>
            <w:r w:rsidR="00286E90">
              <w:rPr>
                <w:sz w:val="20"/>
                <w:szCs w:val="20"/>
                <w:lang w:val="fr-FR"/>
              </w:rPr>
              <w:t>M</w:t>
            </w:r>
            <w:r>
              <w:rPr>
                <w:sz w:val="20"/>
                <w:szCs w:val="20"/>
                <w:lang w:val="fr-FR"/>
              </w:rPr>
              <w:t xml:space="preserve">ouvement SUN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tc>
      </w:tr>
      <w:tr w:rsidR="005404AE" w:rsidRPr="00880085" w14:paraId="19C023D7" w14:textId="77777777" w:rsidTr="004147E9">
        <w:trPr>
          <w:gridAfter w:val="1"/>
          <w:wAfter w:w="13" w:type="dxa"/>
        </w:trPr>
        <w:tc>
          <w:tcPr>
            <w:tcW w:w="473" w:type="dxa"/>
            <w:vMerge/>
            <w:textDirection w:val="btLr"/>
          </w:tcPr>
          <w:p w14:paraId="0C9084E4" w14:textId="77777777" w:rsidR="005404AE" w:rsidRPr="00BD3D80" w:rsidRDefault="005404AE" w:rsidP="005E526B">
            <w:pPr>
              <w:ind w:left="113" w:right="113"/>
              <w:jc w:val="center"/>
              <w:rPr>
                <w:rFonts w:eastAsia="Times New Roman" w:cstheme="majorHAnsi"/>
                <w:b/>
                <w:sz w:val="20"/>
                <w:szCs w:val="20"/>
                <w:lang w:val="fr-FR"/>
              </w:rPr>
            </w:pPr>
          </w:p>
        </w:tc>
        <w:tc>
          <w:tcPr>
            <w:tcW w:w="4200" w:type="dxa"/>
          </w:tcPr>
          <w:p w14:paraId="1F46D959" w14:textId="36569645" w:rsidR="005404AE" w:rsidRPr="00BD3D80" w:rsidRDefault="0070233E" w:rsidP="005E526B">
            <w:pPr>
              <w:rPr>
                <w:sz w:val="20"/>
                <w:szCs w:val="20"/>
                <w:lang w:val="fr-FR"/>
              </w:rPr>
            </w:pPr>
            <w:r>
              <w:rPr>
                <w:sz w:val="20"/>
                <w:szCs w:val="20"/>
                <w:lang w:val="fr-FR"/>
              </w:rPr>
              <w:t>1.2.2 Analyse des lacunes dans l</w:t>
            </w:r>
            <w:r w:rsidR="007500B9">
              <w:rPr>
                <w:sz w:val="20"/>
                <w:szCs w:val="20"/>
                <w:lang w:val="fr-FR"/>
              </w:rPr>
              <w:t>es</w:t>
            </w:r>
            <w:r>
              <w:rPr>
                <w:sz w:val="20"/>
                <w:szCs w:val="20"/>
                <w:lang w:val="fr-FR"/>
              </w:rPr>
              <w:t xml:space="preserve"> législation</w:t>
            </w:r>
            <w:r w:rsidR="007500B9">
              <w:rPr>
                <w:sz w:val="20"/>
                <w:szCs w:val="20"/>
                <w:lang w:val="fr-FR"/>
              </w:rPr>
              <w:t>s</w:t>
            </w:r>
            <w:r w:rsidR="008843EE">
              <w:rPr>
                <w:sz w:val="20"/>
                <w:szCs w:val="20"/>
                <w:lang w:val="fr-FR"/>
              </w:rPr>
              <w:t xml:space="preserve"> </w:t>
            </w:r>
            <w:r w:rsidR="007500B9">
              <w:rPr>
                <w:sz w:val="20"/>
                <w:szCs w:val="20"/>
                <w:lang w:val="fr-FR"/>
              </w:rPr>
              <w:t>ou</w:t>
            </w:r>
            <w:r w:rsidR="008843EE">
              <w:rPr>
                <w:sz w:val="20"/>
                <w:szCs w:val="20"/>
                <w:lang w:val="fr-FR"/>
              </w:rPr>
              <w:t xml:space="preserve"> dans</w:t>
            </w:r>
            <w:r>
              <w:rPr>
                <w:sz w:val="20"/>
                <w:szCs w:val="20"/>
                <w:lang w:val="fr-FR"/>
              </w:rPr>
              <w:t xml:space="preserve"> les processus pour lutter contre les </w:t>
            </w:r>
            <w:r>
              <w:rPr>
                <w:sz w:val="20"/>
                <w:szCs w:val="20"/>
                <w:lang w:val="fr-FR"/>
              </w:rPr>
              <w:lastRenderedPageBreak/>
              <w:t>inégalités (par exemple, législation sur les substituts du lait maternel)</w:t>
            </w:r>
          </w:p>
        </w:tc>
        <w:tc>
          <w:tcPr>
            <w:tcW w:w="5811" w:type="dxa"/>
          </w:tcPr>
          <w:p w14:paraId="3018C14B" w14:textId="0DDF7308" w:rsidR="005404AE" w:rsidRPr="00BD3D80" w:rsidRDefault="005404AE" w:rsidP="0070233E">
            <w:pPr>
              <w:pStyle w:val="ListParagraph"/>
              <w:numPr>
                <w:ilvl w:val="0"/>
                <w:numId w:val="17"/>
              </w:numPr>
              <w:tabs>
                <w:tab w:val="left" w:pos="884"/>
                <w:tab w:val="right" w:pos="3294"/>
              </w:tabs>
              <w:spacing w:before="60" w:after="60"/>
              <w:rPr>
                <w:sz w:val="20"/>
                <w:szCs w:val="20"/>
                <w:lang w:val="fr-FR"/>
              </w:rPr>
            </w:pPr>
            <w:r>
              <w:rPr>
                <w:rFonts w:eastAsia="Times New Roman" w:cstheme="majorHAnsi"/>
                <w:sz w:val="20"/>
                <w:szCs w:val="20"/>
                <w:lang w:val="fr-FR"/>
              </w:rPr>
              <w:lastRenderedPageBreak/>
              <w:t>Nombre d</w:t>
            </w:r>
            <w:r w:rsidR="002C54BD">
              <w:rPr>
                <w:rFonts w:eastAsia="Times New Roman" w:cstheme="majorHAnsi"/>
                <w:sz w:val="20"/>
                <w:szCs w:val="20"/>
                <w:lang w:val="fr-FR"/>
              </w:rPr>
              <w:t>’</w:t>
            </w:r>
            <w:r>
              <w:rPr>
                <w:rFonts w:eastAsia="Times New Roman" w:cstheme="majorHAnsi"/>
                <w:sz w:val="20"/>
                <w:szCs w:val="20"/>
                <w:lang w:val="fr-FR"/>
              </w:rPr>
              <w:t>analyses produites et soumises (par thème)</w:t>
            </w:r>
          </w:p>
          <w:p w14:paraId="7C0CFFD9" w14:textId="6A69CDFC" w:rsidR="00DC3E3F" w:rsidRPr="00BD3D80" w:rsidRDefault="00DC3E3F" w:rsidP="00DC3E3F">
            <w:pPr>
              <w:pStyle w:val="ListParagraph"/>
              <w:numPr>
                <w:ilvl w:val="0"/>
                <w:numId w:val="17"/>
              </w:numPr>
              <w:tabs>
                <w:tab w:val="left" w:pos="884"/>
                <w:tab w:val="right" w:pos="3294"/>
              </w:tabs>
              <w:spacing w:before="60" w:after="60"/>
              <w:rPr>
                <w:sz w:val="20"/>
                <w:szCs w:val="20"/>
                <w:lang w:val="fr-FR"/>
              </w:rPr>
            </w:pPr>
            <w:r>
              <w:rPr>
                <w:sz w:val="20"/>
                <w:szCs w:val="20"/>
                <w:lang w:val="fr-FR"/>
              </w:rPr>
              <w:lastRenderedPageBreak/>
              <w:t>Nombre d</w:t>
            </w:r>
            <w:r w:rsidR="002C54BD">
              <w:rPr>
                <w:sz w:val="20"/>
                <w:szCs w:val="20"/>
                <w:lang w:val="fr-FR"/>
              </w:rPr>
              <w:t>’</w:t>
            </w:r>
            <w:r>
              <w:rPr>
                <w:sz w:val="20"/>
                <w:szCs w:val="20"/>
                <w:lang w:val="fr-FR"/>
              </w:rPr>
              <w:t>ASC signalant ou contribuant à des rapports sur les inégalités et la vulnérabilité de la population au niveau national ou infranational (</w:t>
            </w:r>
            <w:r w:rsidR="00BB74DB">
              <w:rPr>
                <w:sz w:val="20"/>
                <w:szCs w:val="20"/>
                <w:lang w:val="fr-FR"/>
              </w:rPr>
              <w:t>fonds communs</w:t>
            </w:r>
            <w:r w:rsidR="00DD57A4">
              <w:rPr>
                <w:sz w:val="20"/>
                <w:szCs w:val="20"/>
                <w:lang w:val="fr-FR"/>
              </w:rPr>
              <w:t xml:space="preserve"> Produit</w:t>
            </w:r>
            <w:r w:rsidR="002C54BD">
              <w:rPr>
                <w:sz w:val="20"/>
                <w:szCs w:val="20"/>
                <w:lang w:val="fr-FR"/>
              </w:rPr>
              <w:t> </w:t>
            </w:r>
            <w:r w:rsidR="00DD57A4">
              <w:rPr>
                <w:sz w:val="20"/>
                <w:szCs w:val="20"/>
                <w:lang w:val="fr-FR"/>
              </w:rPr>
              <w:t>3.2.3</w:t>
            </w:r>
            <w:r>
              <w:rPr>
                <w:sz w:val="20"/>
                <w:szCs w:val="20"/>
                <w:lang w:val="fr-FR"/>
              </w:rPr>
              <w:t>)</w:t>
            </w:r>
          </w:p>
        </w:tc>
      </w:tr>
      <w:tr w:rsidR="005404AE" w14:paraId="5D94A9BA" w14:textId="77777777" w:rsidTr="004147E9">
        <w:trPr>
          <w:gridAfter w:val="1"/>
          <w:wAfter w:w="13" w:type="dxa"/>
        </w:trPr>
        <w:tc>
          <w:tcPr>
            <w:tcW w:w="473" w:type="dxa"/>
            <w:vMerge/>
            <w:textDirection w:val="btLr"/>
          </w:tcPr>
          <w:p w14:paraId="7B2BBA41" w14:textId="77777777" w:rsidR="005404AE" w:rsidRPr="00BD3D80" w:rsidRDefault="005404AE" w:rsidP="005E526B">
            <w:pPr>
              <w:ind w:left="113" w:right="113"/>
              <w:jc w:val="center"/>
              <w:rPr>
                <w:rFonts w:eastAsia="Times New Roman" w:cstheme="majorHAnsi"/>
                <w:b/>
                <w:sz w:val="20"/>
                <w:szCs w:val="20"/>
                <w:lang w:val="fr-FR"/>
              </w:rPr>
            </w:pPr>
          </w:p>
        </w:tc>
        <w:tc>
          <w:tcPr>
            <w:tcW w:w="4200" w:type="dxa"/>
          </w:tcPr>
          <w:p w14:paraId="579556EF" w14:textId="67B2CEFE" w:rsidR="005404AE" w:rsidRPr="00BD3D80" w:rsidRDefault="0070233E" w:rsidP="005E526B">
            <w:pPr>
              <w:rPr>
                <w:rFonts w:eastAsia="Times New Roman" w:cstheme="majorHAnsi"/>
                <w:sz w:val="20"/>
                <w:szCs w:val="20"/>
                <w:lang w:val="fr-FR"/>
              </w:rPr>
            </w:pPr>
            <w:r>
              <w:rPr>
                <w:sz w:val="20"/>
                <w:szCs w:val="20"/>
                <w:lang w:val="fr-FR"/>
              </w:rPr>
              <w:t>1.2.3 Collecte et analyse de données pour guider l</w:t>
            </w:r>
            <w:r w:rsidR="002C54BD">
              <w:rPr>
                <w:sz w:val="20"/>
                <w:szCs w:val="20"/>
                <w:lang w:val="fr-FR"/>
              </w:rPr>
              <w:t>’</w:t>
            </w:r>
            <w:r>
              <w:rPr>
                <w:sz w:val="20"/>
                <w:szCs w:val="20"/>
                <w:lang w:val="fr-FR"/>
              </w:rPr>
              <w:t>élaboration/</w:t>
            </w:r>
            <w:r w:rsidR="00D46C47">
              <w:rPr>
                <w:sz w:val="20"/>
                <w:szCs w:val="20"/>
                <w:lang w:val="fr-FR"/>
              </w:rPr>
              <w:t xml:space="preserve">la </w:t>
            </w:r>
            <w:r>
              <w:rPr>
                <w:sz w:val="20"/>
                <w:szCs w:val="20"/>
                <w:lang w:val="fr-FR"/>
              </w:rPr>
              <w:t>révision des politiques</w:t>
            </w:r>
          </w:p>
        </w:tc>
        <w:tc>
          <w:tcPr>
            <w:tcW w:w="5811" w:type="dxa"/>
          </w:tcPr>
          <w:p w14:paraId="1734EA77" w14:textId="2D4F8CFB" w:rsidR="005404AE" w:rsidRPr="0070233E" w:rsidRDefault="005404AE" w:rsidP="0070233E">
            <w:pPr>
              <w:pStyle w:val="ListParagraph"/>
              <w:numPr>
                <w:ilvl w:val="0"/>
                <w:numId w:val="17"/>
              </w:numPr>
              <w:rPr>
                <w:rFonts w:eastAsia="Times New Roman" w:cstheme="majorHAnsi"/>
                <w:sz w:val="20"/>
                <w:szCs w:val="20"/>
              </w:rPr>
            </w:pPr>
            <w:r>
              <w:rPr>
                <w:rFonts w:eastAsia="Times New Roman" w:cstheme="majorHAnsi"/>
                <w:sz w:val="20"/>
                <w:szCs w:val="20"/>
                <w:lang w:val="fr-FR"/>
              </w:rPr>
              <w:t>Nombre de résultats d</w:t>
            </w:r>
            <w:r w:rsidR="002C54BD">
              <w:rPr>
                <w:rFonts w:eastAsia="Times New Roman" w:cstheme="majorHAnsi"/>
                <w:sz w:val="20"/>
                <w:szCs w:val="20"/>
                <w:lang w:val="fr-FR"/>
              </w:rPr>
              <w:t>’</w:t>
            </w:r>
            <w:r>
              <w:rPr>
                <w:rFonts w:eastAsia="Times New Roman" w:cstheme="majorHAnsi"/>
                <w:sz w:val="20"/>
                <w:szCs w:val="20"/>
                <w:lang w:val="fr-FR"/>
              </w:rPr>
              <w:t>analyse diffusés</w:t>
            </w:r>
          </w:p>
          <w:p w14:paraId="64139053" w14:textId="77777777" w:rsidR="005404AE" w:rsidRPr="0070233E" w:rsidRDefault="005404AE" w:rsidP="005E526B">
            <w:pPr>
              <w:tabs>
                <w:tab w:val="left" w:pos="884"/>
                <w:tab w:val="right" w:pos="3294"/>
              </w:tabs>
              <w:spacing w:before="60" w:after="60"/>
              <w:rPr>
                <w:rFonts w:eastAsia="Times New Roman" w:cstheme="majorHAnsi"/>
                <w:sz w:val="20"/>
                <w:szCs w:val="20"/>
              </w:rPr>
            </w:pPr>
          </w:p>
        </w:tc>
      </w:tr>
      <w:tr w:rsidR="005404AE" w:rsidRPr="00880085" w14:paraId="2D8BEF82" w14:textId="77777777" w:rsidTr="004147E9">
        <w:trPr>
          <w:gridAfter w:val="1"/>
          <w:wAfter w:w="13" w:type="dxa"/>
        </w:trPr>
        <w:tc>
          <w:tcPr>
            <w:tcW w:w="473" w:type="dxa"/>
            <w:vMerge/>
          </w:tcPr>
          <w:p w14:paraId="2B401BCA" w14:textId="77777777" w:rsidR="005404AE" w:rsidRPr="0070233E" w:rsidRDefault="005404AE" w:rsidP="005E526B">
            <w:pPr>
              <w:rPr>
                <w:rFonts w:eastAsia="Times New Roman" w:cstheme="majorHAnsi"/>
                <w:sz w:val="20"/>
                <w:szCs w:val="20"/>
              </w:rPr>
            </w:pPr>
          </w:p>
        </w:tc>
        <w:tc>
          <w:tcPr>
            <w:tcW w:w="4200" w:type="dxa"/>
          </w:tcPr>
          <w:p w14:paraId="5576D857" w14:textId="15A45BAA" w:rsidR="005404AE" w:rsidRPr="00BD3D80" w:rsidRDefault="0070233E" w:rsidP="005E526B">
            <w:pPr>
              <w:rPr>
                <w:rFonts w:eastAsia="Times New Roman" w:cstheme="majorHAnsi"/>
                <w:sz w:val="20"/>
                <w:szCs w:val="20"/>
                <w:lang w:val="fr-FR"/>
              </w:rPr>
            </w:pPr>
            <w:r>
              <w:rPr>
                <w:sz w:val="20"/>
                <w:szCs w:val="20"/>
                <w:lang w:val="fr-FR"/>
              </w:rPr>
              <w:t xml:space="preserve">1.2.4 </w:t>
            </w:r>
            <w:r w:rsidR="00D46C47">
              <w:rPr>
                <w:sz w:val="20"/>
                <w:szCs w:val="20"/>
                <w:lang w:val="fr-FR"/>
              </w:rPr>
              <w:t>Contribution</w:t>
            </w:r>
            <w:r>
              <w:rPr>
                <w:sz w:val="20"/>
                <w:szCs w:val="20"/>
                <w:lang w:val="fr-FR"/>
              </w:rPr>
              <w:t xml:space="preserve"> à des consultations et </w:t>
            </w:r>
            <w:r w:rsidR="00D46C47">
              <w:rPr>
                <w:sz w:val="20"/>
                <w:szCs w:val="20"/>
                <w:lang w:val="fr-FR"/>
              </w:rPr>
              <w:t xml:space="preserve">à des </w:t>
            </w:r>
            <w:r>
              <w:rPr>
                <w:sz w:val="20"/>
                <w:szCs w:val="20"/>
                <w:lang w:val="fr-FR"/>
              </w:rPr>
              <w:t>tables rondes sur les politiques, p. ex. sur les indicateurs nationaux relatifs aux ODD</w:t>
            </w:r>
          </w:p>
        </w:tc>
        <w:tc>
          <w:tcPr>
            <w:tcW w:w="5811" w:type="dxa"/>
          </w:tcPr>
          <w:p w14:paraId="4B567824" w14:textId="5F40DFEC"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 xml:space="preserve">Nombre de contributions apportées </w:t>
            </w:r>
            <w:r w:rsidR="00D46C47">
              <w:rPr>
                <w:rFonts w:eastAsia="Times New Roman" w:cstheme="majorHAnsi"/>
                <w:sz w:val="20"/>
                <w:szCs w:val="20"/>
                <w:lang w:val="fr-FR"/>
              </w:rPr>
              <w:t>à</w:t>
            </w:r>
            <w:r>
              <w:rPr>
                <w:rFonts w:eastAsia="Times New Roman" w:cstheme="majorHAnsi"/>
                <w:sz w:val="20"/>
                <w:szCs w:val="20"/>
                <w:lang w:val="fr-FR"/>
              </w:rPr>
              <w:t xml:space="preserve"> la consultation politique</w:t>
            </w:r>
          </w:p>
          <w:p w14:paraId="4F4BE48E" w14:textId="77777777" w:rsidR="005404AE" w:rsidRPr="00BD3D80" w:rsidRDefault="005404AE" w:rsidP="0070233E">
            <w:pPr>
              <w:pStyle w:val="ListParagraph"/>
              <w:numPr>
                <w:ilvl w:val="0"/>
                <w:numId w:val="17"/>
              </w:numPr>
              <w:rPr>
                <w:sz w:val="20"/>
                <w:szCs w:val="20"/>
                <w:lang w:val="fr-FR"/>
              </w:rPr>
            </w:pPr>
            <w:r>
              <w:rPr>
                <w:rFonts w:eastAsia="Times New Roman" w:cstheme="majorHAnsi"/>
                <w:sz w:val="20"/>
                <w:szCs w:val="20"/>
                <w:lang w:val="fr-FR"/>
              </w:rPr>
              <w:t>Nombre de consultations avec les représentants de la société civile</w:t>
            </w:r>
          </w:p>
        </w:tc>
      </w:tr>
      <w:tr w:rsidR="005404AE" w:rsidRPr="00880085" w14:paraId="523E653D" w14:textId="77777777" w:rsidTr="004147E9">
        <w:trPr>
          <w:gridAfter w:val="1"/>
          <w:wAfter w:w="13" w:type="dxa"/>
        </w:trPr>
        <w:tc>
          <w:tcPr>
            <w:tcW w:w="473" w:type="dxa"/>
            <w:vMerge/>
          </w:tcPr>
          <w:p w14:paraId="6C70127C" w14:textId="77777777" w:rsidR="005404AE" w:rsidRPr="00BD3D80" w:rsidRDefault="005404AE" w:rsidP="005E526B">
            <w:pPr>
              <w:rPr>
                <w:rFonts w:eastAsia="Times New Roman" w:cstheme="majorHAnsi"/>
                <w:sz w:val="20"/>
                <w:szCs w:val="20"/>
                <w:lang w:val="fr-FR"/>
              </w:rPr>
            </w:pPr>
          </w:p>
        </w:tc>
        <w:tc>
          <w:tcPr>
            <w:tcW w:w="4200" w:type="dxa"/>
          </w:tcPr>
          <w:p w14:paraId="22820B18" w14:textId="60AE9693" w:rsidR="005404AE" w:rsidRPr="00BD3D80" w:rsidRDefault="0070233E" w:rsidP="005E526B">
            <w:pPr>
              <w:rPr>
                <w:rFonts w:eastAsia="Times New Roman" w:cstheme="majorHAnsi"/>
                <w:sz w:val="20"/>
                <w:szCs w:val="20"/>
                <w:lang w:val="fr-FR"/>
              </w:rPr>
            </w:pPr>
            <w:r>
              <w:rPr>
                <w:sz w:val="20"/>
                <w:szCs w:val="20"/>
                <w:lang w:val="fr-FR"/>
              </w:rPr>
              <w:t xml:space="preserve">1.2.5 </w:t>
            </w:r>
            <w:r w:rsidR="00720B60">
              <w:rPr>
                <w:sz w:val="20"/>
                <w:szCs w:val="20"/>
                <w:lang w:val="fr-FR"/>
              </w:rPr>
              <w:t xml:space="preserve">Influence sur </w:t>
            </w:r>
            <w:r>
              <w:rPr>
                <w:sz w:val="20"/>
                <w:szCs w:val="20"/>
                <w:lang w:val="fr-FR"/>
              </w:rPr>
              <w:t xml:space="preserve">les directives et les cadres de pratiques exemplaires, p. ex. les directives de l’OMS, les ODD grâce à la participation des ASC aux forums mondiaux et régionaux. </w:t>
            </w:r>
          </w:p>
        </w:tc>
        <w:tc>
          <w:tcPr>
            <w:tcW w:w="5811" w:type="dxa"/>
          </w:tcPr>
          <w:p w14:paraId="71F06EDC" w14:textId="3A3471FE"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 xml:space="preserve">Nombre de </w:t>
            </w:r>
            <w:r w:rsidR="00D422A3">
              <w:rPr>
                <w:rFonts w:eastAsia="Times New Roman" w:cstheme="majorHAnsi"/>
                <w:sz w:val="20"/>
                <w:szCs w:val="20"/>
                <w:lang w:val="fr-FR"/>
              </w:rPr>
              <w:t>notes</w:t>
            </w:r>
            <w:r>
              <w:rPr>
                <w:rFonts w:eastAsia="Times New Roman" w:cstheme="majorHAnsi"/>
                <w:sz w:val="20"/>
                <w:szCs w:val="20"/>
                <w:lang w:val="fr-FR"/>
              </w:rPr>
              <w:t xml:space="preserve"> d</w:t>
            </w:r>
            <w:r w:rsidR="002C54BD">
              <w:rPr>
                <w:rFonts w:eastAsia="Times New Roman" w:cstheme="majorHAnsi"/>
                <w:sz w:val="20"/>
                <w:szCs w:val="20"/>
                <w:lang w:val="fr-FR"/>
              </w:rPr>
              <w:t>’</w:t>
            </w:r>
            <w:r>
              <w:rPr>
                <w:rFonts w:eastAsia="Times New Roman" w:cstheme="majorHAnsi"/>
                <w:sz w:val="20"/>
                <w:szCs w:val="20"/>
                <w:lang w:val="fr-FR"/>
              </w:rPr>
              <w:t>information et de contributions produit</w:t>
            </w:r>
            <w:r w:rsidR="002C54BD">
              <w:rPr>
                <w:rFonts w:eastAsia="Times New Roman" w:cstheme="majorHAnsi"/>
                <w:sz w:val="20"/>
                <w:szCs w:val="20"/>
                <w:lang w:val="fr-FR"/>
              </w:rPr>
              <w:t>e</w:t>
            </w:r>
            <w:r>
              <w:rPr>
                <w:rFonts w:eastAsia="Times New Roman" w:cstheme="majorHAnsi"/>
                <w:sz w:val="20"/>
                <w:szCs w:val="20"/>
                <w:lang w:val="fr-FR"/>
              </w:rPr>
              <w:t>s pour les forums régionaux</w:t>
            </w:r>
          </w:p>
          <w:p w14:paraId="2FD9D147" w14:textId="443F2CB5" w:rsidR="005404AE" w:rsidRPr="00BD3D80" w:rsidRDefault="005404AE" w:rsidP="0070233E">
            <w:pPr>
              <w:pStyle w:val="ListParagraph"/>
              <w:numPr>
                <w:ilvl w:val="0"/>
                <w:numId w:val="17"/>
              </w:numPr>
              <w:rPr>
                <w:sz w:val="20"/>
                <w:szCs w:val="20"/>
                <w:lang w:val="fr-FR"/>
              </w:rPr>
            </w:pPr>
            <w:r>
              <w:rPr>
                <w:rFonts w:eastAsia="Times New Roman" w:cstheme="majorHAnsi"/>
                <w:sz w:val="20"/>
                <w:szCs w:val="20"/>
                <w:lang w:val="fr-FR"/>
              </w:rPr>
              <w:t>Nombre de représentants d</w:t>
            </w:r>
            <w:r w:rsidR="002C54BD">
              <w:rPr>
                <w:rFonts w:eastAsia="Times New Roman" w:cstheme="majorHAnsi"/>
                <w:sz w:val="20"/>
                <w:szCs w:val="20"/>
                <w:lang w:val="fr-FR"/>
              </w:rPr>
              <w:t>’</w:t>
            </w:r>
            <w:r>
              <w:rPr>
                <w:rFonts w:eastAsia="Times New Roman" w:cstheme="majorHAnsi"/>
                <w:sz w:val="20"/>
                <w:szCs w:val="20"/>
                <w:lang w:val="fr-FR"/>
              </w:rPr>
              <w:t>ASC participant à des forums régionaux/mondiaux (ventilés par sexe et par événement)</w:t>
            </w:r>
          </w:p>
        </w:tc>
      </w:tr>
      <w:tr w:rsidR="005404AE" w:rsidRPr="00880085" w14:paraId="4AE306F2" w14:textId="77777777" w:rsidTr="004147E9">
        <w:trPr>
          <w:gridAfter w:val="1"/>
          <w:wAfter w:w="13" w:type="dxa"/>
        </w:trPr>
        <w:tc>
          <w:tcPr>
            <w:tcW w:w="473" w:type="dxa"/>
            <w:vMerge/>
          </w:tcPr>
          <w:p w14:paraId="3EBEA3D6" w14:textId="77777777" w:rsidR="005404AE" w:rsidRPr="00BD3D80" w:rsidRDefault="005404AE" w:rsidP="005E526B">
            <w:pPr>
              <w:rPr>
                <w:rFonts w:eastAsia="Times New Roman" w:cstheme="majorHAnsi"/>
                <w:sz w:val="20"/>
                <w:szCs w:val="20"/>
                <w:lang w:val="fr-FR"/>
              </w:rPr>
            </w:pPr>
          </w:p>
        </w:tc>
        <w:tc>
          <w:tcPr>
            <w:tcW w:w="4200" w:type="dxa"/>
          </w:tcPr>
          <w:p w14:paraId="32A017F1" w14:textId="3EBC8127" w:rsidR="005404AE" w:rsidRPr="00BD3D80" w:rsidRDefault="0070233E" w:rsidP="005E526B">
            <w:pPr>
              <w:rPr>
                <w:rFonts w:eastAsia="Times New Roman" w:cstheme="majorHAnsi"/>
                <w:sz w:val="20"/>
                <w:szCs w:val="20"/>
                <w:lang w:val="fr-FR"/>
              </w:rPr>
            </w:pPr>
            <w:r>
              <w:rPr>
                <w:sz w:val="20"/>
                <w:szCs w:val="20"/>
                <w:lang w:val="fr-FR"/>
              </w:rPr>
              <w:t>1.2.6 Relations établies avec des entreprises nationales (via un réseau d’entreprises) pour les conseiller sur les pratiques exemplaires et influencer les lignes directrices commerciales au niveau national</w:t>
            </w:r>
          </w:p>
        </w:tc>
        <w:tc>
          <w:tcPr>
            <w:tcW w:w="5811" w:type="dxa"/>
          </w:tcPr>
          <w:p w14:paraId="42C3522A" w14:textId="75F68B67"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entreprises/PME bénéficiant de conseils/consultations/séances de sensibilisation (ventilé</w:t>
            </w:r>
            <w:r w:rsidR="00630C28">
              <w:rPr>
                <w:rFonts w:eastAsia="Times New Roman" w:cstheme="majorHAnsi"/>
                <w:sz w:val="20"/>
                <w:szCs w:val="20"/>
                <w:lang w:val="fr-FR"/>
              </w:rPr>
              <w:t>e</w:t>
            </w:r>
            <w:r>
              <w:rPr>
                <w:rFonts w:eastAsia="Times New Roman" w:cstheme="majorHAnsi"/>
                <w:sz w:val="20"/>
                <w:szCs w:val="20"/>
                <w:lang w:val="fr-FR"/>
              </w:rPr>
              <w:t>s par thème, type de secteur privé, niveau national ou infranational)</w:t>
            </w:r>
          </w:p>
          <w:p w14:paraId="5A33F863" w14:textId="77777777" w:rsidR="005404AE" w:rsidRPr="00BD3D80" w:rsidRDefault="005404AE" w:rsidP="005E526B">
            <w:pPr>
              <w:rPr>
                <w:rFonts w:eastAsia="Times New Roman" w:cstheme="majorHAnsi"/>
                <w:sz w:val="20"/>
                <w:szCs w:val="20"/>
                <w:lang w:val="fr-FR"/>
              </w:rPr>
            </w:pPr>
          </w:p>
          <w:p w14:paraId="16CCD3B8" w14:textId="77777777" w:rsidR="005404AE" w:rsidRPr="00BD3D80" w:rsidRDefault="005404AE" w:rsidP="0070233E">
            <w:pPr>
              <w:pStyle w:val="ListParagraph"/>
              <w:numPr>
                <w:ilvl w:val="0"/>
                <w:numId w:val="17"/>
              </w:numPr>
              <w:rPr>
                <w:sz w:val="20"/>
                <w:szCs w:val="20"/>
                <w:lang w:val="fr-FR"/>
              </w:rPr>
            </w:pPr>
            <w:r>
              <w:rPr>
                <w:rFonts w:eastAsia="Times New Roman" w:cstheme="majorHAnsi"/>
                <w:sz w:val="20"/>
                <w:szCs w:val="20"/>
                <w:lang w:val="fr-FR"/>
              </w:rPr>
              <w:t>Nombre de personnes du secteur privé ayant bénéficié de consultations ou de séances de sensibilisation (ventilées par thème, sexe et taille du secteur privé)</w:t>
            </w:r>
          </w:p>
        </w:tc>
      </w:tr>
      <w:tr w:rsidR="005404AE" w:rsidRPr="00880085" w14:paraId="6F33DBD7" w14:textId="77777777" w:rsidTr="004147E9">
        <w:trPr>
          <w:gridAfter w:val="1"/>
          <w:wAfter w:w="13" w:type="dxa"/>
        </w:trPr>
        <w:tc>
          <w:tcPr>
            <w:tcW w:w="473" w:type="dxa"/>
          </w:tcPr>
          <w:p w14:paraId="028E483C" w14:textId="77777777" w:rsidR="005404AE" w:rsidRPr="00BD3D80" w:rsidRDefault="005404AE" w:rsidP="005E526B">
            <w:pPr>
              <w:rPr>
                <w:rFonts w:eastAsia="Times New Roman" w:cstheme="majorHAnsi"/>
                <w:sz w:val="20"/>
                <w:szCs w:val="20"/>
                <w:lang w:val="fr-FR"/>
              </w:rPr>
            </w:pPr>
          </w:p>
        </w:tc>
        <w:tc>
          <w:tcPr>
            <w:tcW w:w="4200" w:type="dxa"/>
          </w:tcPr>
          <w:p w14:paraId="2775E2DE" w14:textId="77777777" w:rsidR="005404AE" w:rsidRPr="00BD3D80" w:rsidRDefault="005404AE" w:rsidP="005E526B">
            <w:pPr>
              <w:rPr>
                <w:rFonts w:eastAsia="Times New Roman" w:cstheme="majorHAnsi"/>
                <w:sz w:val="20"/>
                <w:szCs w:val="20"/>
                <w:lang w:val="fr-FR"/>
              </w:rPr>
            </w:pPr>
          </w:p>
        </w:tc>
        <w:tc>
          <w:tcPr>
            <w:tcW w:w="5811" w:type="dxa"/>
          </w:tcPr>
          <w:p w14:paraId="708D138C" w14:textId="77777777" w:rsidR="005404AE" w:rsidRPr="00BD3D80" w:rsidRDefault="005404AE" w:rsidP="001A3B0A">
            <w:pPr>
              <w:pStyle w:val="ListParagraph"/>
              <w:rPr>
                <w:sz w:val="20"/>
                <w:szCs w:val="20"/>
                <w:lang w:val="fr-FR"/>
              </w:rPr>
            </w:pPr>
          </w:p>
        </w:tc>
      </w:tr>
      <w:tr w:rsidR="0070233E" w:rsidRPr="00880085" w14:paraId="4629A373" w14:textId="77777777" w:rsidTr="004147E9">
        <w:trPr>
          <w:gridAfter w:val="1"/>
          <w:wAfter w:w="13" w:type="dxa"/>
        </w:trPr>
        <w:tc>
          <w:tcPr>
            <w:tcW w:w="473" w:type="dxa"/>
            <w:vMerge w:val="restart"/>
            <w:textDirection w:val="btLr"/>
          </w:tcPr>
          <w:p w14:paraId="3385BC38" w14:textId="20342EBB" w:rsidR="0070233E" w:rsidRPr="0070233E" w:rsidRDefault="0070233E" w:rsidP="0070233E">
            <w:pPr>
              <w:ind w:left="113" w:right="113"/>
              <w:jc w:val="center"/>
              <w:rPr>
                <w:rFonts w:eastAsia="Times New Roman" w:cstheme="majorHAnsi"/>
                <w:sz w:val="20"/>
                <w:szCs w:val="20"/>
              </w:rPr>
            </w:pPr>
            <w:r>
              <w:rPr>
                <w:rFonts w:eastAsia="Times New Roman" w:cstheme="majorHAnsi"/>
                <w:b/>
                <w:bCs/>
                <w:sz w:val="20"/>
                <w:szCs w:val="20"/>
                <w:lang w:val="fr-FR"/>
              </w:rPr>
              <w:t>Résultat intermédiaire</w:t>
            </w:r>
            <w:r w:rsidR="002C54BD">
              <w:rPr>
                <w:rFonts w:eastAsia="Times New Roman" w:cstheme="majorHAnsi"/>
                <w:b/>
                <w:bCs/>
                <w:sz w:val="20"/>
                <w:szCs w:val="20"/>
                <w:lang w:val="fr-FR"/>
              </w:rPr>
              <w:t> </w:t>
            </w:r>
            <w:r>
              <w:rPr>
                <w:rFonts w:eastAsia="Times New Roman" w:cstheme="majorHAnsi"/>
                <w:b/>
                <w:bCs/>
                <w:sz w:val="20"/>
                <w:szCs w:val="20"/>
                <w:lang w:val="fr-FR"/>
              </w:rPr>
              <w:t>1.3</w:t>
            </w:r>
          </w:p>
        </w:tc>
        <w:tc>
          <w:tcPr>
            <w:tcW w:w="4200" w:type="dxa"/>
          </w:tcPr>
          <w:p w14:paraId="2C928696" w14:textId="5D6D3E2C" w:rsidR="0070233E" w:rsidRPr="00BD3D80" w:rsidRDefault="0070233E" w:rsidP="005E526B">
            <w:pPr>
              <w:rPr>
                <w:rFonts w:eastAsia="Times New Roman" w:cstheme="majorHAnsi"/>
                <w:sz w:val="20"/>
                <w:szCs w:val="20"/>
                <w:lang w:val="fr-FR"/>
              </w:rPr>
            </w:pPr>
            <w:r>
              <w:rPr>
                <w:rFonts w:eastAsia="Times New Roman" w:cstheme="majorHAnsi"/>
                <w:sz w:val="20"/>
                <w:szCs w:val="20"/>
                <w:lang w:val="fr-FR"/>
              </w:rPr>
              <w:t>1.3.1 Création de cartes présentant les principaux acteurs nationaux de la nutrition</w:t>
            </w:r>
            <w:r w:rsidR="00C26CAB">
              <w:rPr>
                <w:rFonts w:eastAsia="Times New Roman" w:cstheme="majorHAnsi"/>
                <w:sz w:val="20"/>
                <w:szCs w:val="20"/>
                <w:lang w:val="fr-FR"/>
              </w:rPr>
              <w:t xml:space="preserve"> </w:t>
            </w:r>
          </w:p>
          <w:p w14:paraId="0C4204F5" w14:textId="77777777" w:rsidR="0070233E" w:rsidRPr="00BD3D80" w:rsidRDefault="0070233E" w:rsidP="005E526B">
            <w:pPr>
              <w:rPr>
                <w:rFonts w:eastAsia="Times New Roman" w:cstheme="majorHAnsi"/>
                <w:sz w:val="20"/>
                <w:szCs w:val="20"/>
                <w:lang w:val="fr-FR"/>
              </w:rPr>
            </w:pPr>
          </w:p>
          <w:p w14:paraId="2B6C9CC9" w14:textId="77777777" w:rsidR="0070233E" w:rsidRPr="00BD3D80" w:rsidRDefault="0070233E" w:rsidP="0070233E">
            <w:pPr>
              <w:rPr>
                <w:rFonts w:eastAsia="Times New Roman" w:cstheme="majorHAnsi"/>
                <w:sz w:val="20"/>
                <w:szCs w:val="20"/>
                <w:lang w:val="fr-FR"/>
              </w:rPr>
            </w:pPr>
          </w:p>
        </w:tc>
        <w:tc>
          <w:tcPr>
            <w:tcW w:w="5811" w:type="dxa"/>
          </w:tcPr>
          <w:p w14:paraId="40EFAF6C" w14:textId="3257DB99" w:rsidR="0070233E" w:rsidRPr="00BD3D80" w:rsidRDefault="0070233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et type de parties prenantes cartographiées, ventilées par objectif (cartographie des capacités et des lacunes des OSC ou d</w:t>
            </w:r>
            <w:r w:rsidR="002C54BD">
              <w:rPr>
                <w:rFonts w:eastAsia="Times New Roman" w:cstheme="majorHAnsi"/>
                <w:sz w:val="20"/>
                <w:szCs w:val="20"/>
                <w:lang w:val="fr-FR"/>
              </w:rPr>
              <w:t>’</w:t>
            </w:r>
            <w:r>
              <w:rPr>
                <w:rFonts w:eastAsia="Times New Roman" w:cstheme="majorHAnsi"/>
                <w:sz w:val="20"/>
                <w:szCs w:val="20"/>
                <w:lang w:val="fr-FR"/>
              </w:rPr>
              <w:t>autres parties prenantes, portée des programmes</w:t>
            </w:r>
            <w:r w:rsidR="002C54BD">
              <w:rPr>
                <w:rFonts w:eastAsia="Times New Roman" w:cstheme="majorHAnsi"/>
                <w:sz w:val="20"/>
                <w:szCs w:val="20"/>
                <w:lang w:val="fr-FR"/>
              </w:rPr>
              <w:t> </w:t>
            </w:r>
            <w:r>
              <w:rPr>
                <w:rFonts w:eastAsia="Times New Roman" w:cstheme="majorHAnsi"/>
                <w:sz w:val="20"/>
                <w:szCs w:val="20"/>
                <w:lang w:val="fr-FR"/>
              </w:rPr>
              <w:t>; investissements...)</w:t>
            </w:r>
          </w:p>
        </w:tc>
      </w:tr>
      <w:tr w:rsidR="0070233E" w:rsidRPr="00880085" w14:paraId="45B1DE6A" w14:textId="77777777" w:rsidTr="004147E9">
        <w:trPr>
          <w:gridAfter w:val="1"/>
          <w:wAfter w:w="13" w:type="dxa"/>
        </w:trPr>
        <w:tc>
          <w:tcPr>
            <w:tcW w:w="473" w:type="dxa"/>
            <w:vMerge/>
          </w:tcPr>
          <w:p w14:paraId="24DA1BBA" w14:textId="77777777" w:rsidR="0070233E" w:rsidRPr="00BD3D80" w:rsidRDefault="0070233E" w:rsidP="005E526B">
            <w:pPr>
              <w:rPr>
                <w:rFonts w:eastAsia="Times New Roman" w:cstheme="majorHAnsi"/>
                <w:sz w:val="20"/>
                <w:szCs w:val="20"/>
                <w:lang w:val="fr-FR"/>
              </w:rPr>
            </w:pPr>
          </w:p>
        </w:tc>
        <w:tc>
          <w:tcPr>
            <w:tcW w:w="4200" w:type="dxa"/>
          </w:tcPr>
          <w:p w14:paraId="5E667527" w14:textId="0EE8A224" w:rsidR="0070233E" w:rsidRPr="00BD3D80" w:rsidRDefault="0070233E" w:rsidP="001A3B0A">
            <w:pPr>
              <w:rPr>
                <w:rFonts w:eastAsia="Times New Roman" w:cstheme="majorHAnsi"/>
                <w:sz w:val="20"/>
                <w:szCs w:val="20"/>
                <w:lang w:val="fr-FR"/>
              </w:rPr>
            </w:pPr>
            <w:r>
              <w:rPr>
                <w:rFonts w:eastAsia="Times New Roman" w:cstheme="majorHAnsi"/>
                <w:sz w:val="20"/>
                <w:szCs w:val="20"/>
                <w:lang w:val="fr-FR"/>
              </w:rPr>
              <w:t xml:space="preserve">1.3.2 </w:t>
            </w:r>
            <w:r w:rsidR="00D46C47">
              <w:rPr>
                <w:rFonts w:eastAsia="Times New Roman" w:cstheme="majorHAnsi"/>
                <w:sz w:val="20"/>
                <w:szCs w:val="20"/>
                <w:lang w:val="fr-FR"/>
              </w:rPr>
              <w:t>Cartographie d’un p</w:t>
            </w:r>
            <w:r>
              <w:rPr>
                <w:rFonts w:eastAsia="Times New Roman" w:cstheme="majorHAnsi"/>
                <w:sz w:val="20"/>
                <w:szCs w:val="20"/>
                <w:lang w:val="fr-FR"/>
              </w:rPr>
              <w:t>lan d</w:t>
            </w:r>
            <w:r w:rsidR="002C54BD">
              <w:rPr>
                <w:rFonts w:eastAsia="Times New Roman" w:cstheme="majorHAnsi"/>
                <w:sz w:val="20"/>
                <w:szCs w:val="20"/>
                <w:lang w:val="fr-FR"/>
              </w:rPr>
              <w:t>’</w:t>
            </w:r>
            <w:r>
              <w:rPr>
                <w:rFonts w:eastAsia="Times New Roman" w:cstheme="majorHAnsi"/>
                <w:sz w:val="20"/>
                <w:szCs w:val="20"/>
                <w:lang w:val="fr-FR"/>
              </w:rPr>
              <w:t xml:space="preserve">engagement pour dialoguer avec les acteurs de la nutrition </w:t>
            </w:r>
          </w:p>
        </w:tc>
        <w:tc>
          <w:tcPr>
            <w:tcW w:w="5811" w:type="dxa"/>
          </w:tcPr>
          <w:p w14:paraId="1BA9370E" w14:textId="4F81338C" w:rsidR="0070233E" w:rsidRPr="00BD3D80" w:rsidRDefault="0070233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Existence d</w:t>
            </w:r>
            <w:r w:rsidR="002C54BD">
              <w:rPr>
                <w:rFonts w:eastAsia="Times New Roman" w:cstheme="majorHAnsi"/>
                <w:sz w:val="20"/>
                <w:szCs w:val="20"/>
                <w:lang w:val="fr-FR"/>
              </w:rPr>
              <w:t>’</w:t>
            </w:r>
            <w:r>
              <w:rPr>
                <w:rFonts w:eastAsia="Times New Roman" w:cstheme="majorHAnsi"/>
                <w:sz w:val="20"/>
                <w:szCs w:val="20"/>
                <w:lang w:val="fr-FR"/>
              </w:rPr>
              <w:t>un plan d</w:t>
            </w:r>
            <w:r w:rsidR="002C54BD">
              <w:rPr>
                <w:rFonts w:eastAsia="Times New Roman" w:cstheme="majorHAnsi"/>
                <w:sz w:val="20"/>
                <w:szCs w:val="20"/>
                <w:lang w:val="fr-FR"/>
              </w:rPr>
              <w:t>’</w:t>
            </w:r>
            <w:r>
              <w:rPr>
                <w:rFonts w:eastAsia="Times New Roman" w:cstheme="majorHAnsi"/>
                <w:sz w:val="20"/>
                <w:szCs w:val="20"/>
                <w:lang w:val="fr-FR"/>
              </w:rPr>
              <w:t>engagement des parties prenantes (qui, quoi, pourquoi, comment, où)</w:t>
            </w:r>
          </w:p>
        </w:tc>
      </w:tr>
      <w:tr w:rsidR="0070233E" w:rsidRPr="00880085" w14:paraId="376797C3" w14:textId="77777777" w:rsidTr="004147E9">
        <w:trPr>
          <w:gridAfter w:val="1"/>
          <w:wAfter w:w="13" w:type="dxa"/>
        </w:trPr>
        <w:tc>
          <w:tcPr>
            <w:tcW w:w="473" w:type="dxa"/>
            <w:vMerge/>
          </w:tcPr>
          <w:p w14:paraId="46704BDE" w14:textId="77777777" w:rsidR="0070233E" w:rsidRPr="00BD3D80" w:rsidRDefault="0070233E" w:rsidP="005E526B">
            <w:pPr>
              <w:rPr>
                <w:rFonts w:eastAsia="Times New Roman" w:cstheme="majorHAnsi"/>
                <w:sz w:val="20"/>
                <w:szCs w:val="20"/>
                <w:lang w:val="fr-FR"/>
              </w:rPr>
            </w:pPr>
          </w:p>
        </w:tc>
        <w:tc>
          <w:tcPr>
            <w:tcW w:w="4200" w:type="dxa"/>
          </w:tcPr>
          <w:p w14:paraId="5D1B5C5D" w14:textId="24D375B9" w:rsidR="0070233E" w:rsidRPr="00BD3D80" w:rsidRDefault="0070233E" w:rsidP="005E526B">
            <w:pPr>
              <w:rPr>
                <w:rFonts w:eastAsia="Times New Roman" w:cstheme="majorHAnsi"/>
                <w:sz w:val="20"/>
                <w:szCs w:val="20"/>
                <w:lang w:val="fr-FR"/>
              </w:rPr>
            </w:pPr>
            <w:r>
              <w:rPr>
                <w:rFonts w:eastAsia="Times New Roman" w:cstheme="majorHAnsi"/>
                <w:sz w:val="20"/>
                <w:szCs w:val="20"/>
                <w:lang w:val="fr-FR"/>
              </w:rPr>
              <w:t xml:space="preserve">1.3.3 Plans conjoints </w:t>
            </w:r>
            <w:proofErr w:type="spellStart"/>
            <w:r w:rsidR="00630C28">
              <w:rPr>
                <w:rFonts w:eastAsia="Times New Roman" w:cstheme="majorHAnsi"/>
                <w:sz w:val="20"/>
                <w:szCs w:val="20"/>
                <w:lang w:val="fr-FR"/>
              </w:rPr>
              <w:t>multiacteurs</w:t>
            </w:r>
            <w:proofErr w:type="spellEnd"/>
            <w:r w:rsidR="00630C28">
              <w:rPr>
                <w:rFonts w:eastAsia="Times New Roman" w:cstheme="majorHAnsi"/>
                <w:sz w:val="20"/>
                <w:szCs w:val="20"/>
                <w:lang w:val="fr-FR"/>
              </w:rPr>
              <w:t xml:space="preserve"> </w:t>
            </w:r>
            <w:r>
              <w:rPr>
                <w:rFonts w:eastAsia="Times New Roman" w:cstheme="majorHAnsi"/>
                <w:sz w:val="20"/>
                <w:szCs w:val="20"/>
                <w:lang w:val="fr-FR"/>
              </w:rPr>
              <w:t>élaborés au niveau national ou infranational</w:t>
            </w:r>
          </w:p>
          <w:p w14:paraId="7DB33805" w14:textId="77777777" w:rsidR="0070233E" w:rsidRPr="00BD3D80" w:rsidRDefault="0070233E" w:rsidP="005E526B">
            <w:pPr>
              <w:rPr>
                <w:rFonts w:eastAsia="Times New Roman" w:cstheme="majorHAnsi"/>
                <w:sz w:val="20"/>
                <w:szCs w:val="20"/>
                <w:lang w:val="fr-FR"/>
              </w:rPr>
            </w:pPr>
          </w:p>
          <w:p w14:paraId="5F7908A8" w14:textId="77777777" w:rsidR="0070233E" w:rsidRPr="00BD3D80" w:rsidRDefault="0070233E" w:rsidP="005E526B">
            <w:pPr>
              <w:rPr>
                <w:rFonts w:eastAsia="Times New Roman" w:cstheme="majorHAnsi"/>
                <w:sz w:val="20"/>
                <w:szCs w:val="20"/>
                <w:lang w:val="fr-FR"/>
              </w:rPr>
            </w:pPr>
          </w:p>
          <w:p w14:paraId="414E0426" w14:textId="77777777" w:rsidR="0070233E" w:rsidRPr="00BD3D80" w:rsidRDefault="0070233E" w:rsidP="005E526B">
            <w:pPr>
              <w:rPr>
                <w:rFonts w:eastAsia="Times New Roman" w:cstheme="majorHAnsi"/>
                <w:sz w:val="20"/>
                <w:szCs w:val="20"/>
                <w:lang w:val="fr-FR"/>
              </w:rPr>
            </w:pPr>
          </w:p>
        </w:tc>
        <w:tc>
          <w:tcPr>
            <w:tcW w:w="5811" w:type="dxa"/>
          </w:tcPr>
          <w:p w14:paraId="69020DF4" w14:textId="77777777" w:rsidR="0070233E" w:rsidRPr="00BD3D80" w:rsidRDefault="0070233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de plans conjoints élaborés aux niveaux national et infranational</w:t>
            </w:r>
          </w:p>
          <w:p w14:paraId="7DC7178A" w14:textId="77777777" w:rsidR="0070233E" w:rsidRPr="00BD3D80" w:rsidRDefault="0070233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de parties prenantes ayant signé le plan (ventilées par organisation et par secteur)</w:t>
            </w:r>
          </w:p>
          <w:p w14:paraId="59F216F5" w14:textId="18219AE4" w:rsidR="0070233E" w:rsidRPr="00BD3D80" w:rsidRDefault="0070233E" w:rsidP="0070233E">
            <w:pPr>
              <w:pStyle w:val="ListParagraph"/>
              <w:numPr>
                <w:ilvl w:val="0"/>
                <w:numId w:val="17"/>
              </w:numPr>
              <w:rPr>
                <w:sz w:val="20"/>
                <w:szCs w:val="20"/>
                <w:lang w:val="fr-FR"/>
              </w:rPr>
            </w:pPr>
            <w:r>
              <w:rPr>
                <w:rFonts w:eastAsia="Times New Roman" w:cstheme="majorHAnsi"/>
                <w:sz w:val="20"/>
                <w:szCs w:val="20"/>
                <w:lang w:val="fr-FR"/>
              </w:rPr>
              <w:t>Nombre de plans conjoints actuellement mis en œuvre</w:t>
            </w:r>
          </w:p>
        </w:tc>
      </w:tr>
      <w:tr w:rsidR="005404AE" w:rsidRPr="00880085" w14:paraId="221CF1F4" w14:textId="77777777" w:rsidTr="004147E9">
        <w:trPr>
          <w:gridAfter w:val="1"/>
          <w:wAfter w:w="13" w:type="dxa"/>
        </w:trPr>
        <w:tc>
          <w:tcPr>
            <w:tcW w:w="473" w:type="dxa"/>
          </w:tcPr>
          <w:p w14:paraId="1C35D6C1" w14:textId="77777777" w:rsidR="005404AE" w:rsidRPr="00BD3D80" w:rsidRDefault="005404AE" w:rsidP="005E526B">
            <w:pPr>
              <w:rPr>
                <w:rFonts w:eastAsia="Times New Roman" w:cstheme="majorHAnsi"/>
                <w:sz w:val="20"/>
                <w:szCs w:val="20"/>
                <w:lang w:val="fr-FR"/>
              </w:rPr>
            </w:pPr>
          </w:p>
        </w:tc>
        <w:tc>
          <w:tcPr>
            <w:tcW w:w="4200" w:type="dxa"/>
          </w:tcPr>
          <w:p w14:paraId="587C6575" w14:textId="77777777" w:rsidR="005404AE" w:rsidRPr="00BD3D80" w:rsidRDefault="005404AE" w:rsidP="005E526B">
            <w:pPr>
              <w:rPr>
                <w:rFonts w:eastAsia="Times New Roman" w:cstheme="majorHAnsi"/>
                <w:sz w:val="20"/>
                <w:szCs w:val="20"/>
                <w:lang w:val="fr-FR"/>
              </w:rPr>
            </w:pPr>
          </w:p>
        </w:tc>
        <w:tc>
          <w:tcPr>
            <w:tcW w:w="5811" w:type="dxa"/>
          </w:tcPr>
          <w:p w14:paraId="374D0DF3" w14:textId="77777777" w:rsidR="005404AE" w:rsidRPr="00BD3D80" w:rsidRDefault="005404AE" w:rsidP="00354CE4">
            <w:pPr>
              <w:rPr>
                <w:sz w:val="20"/>
                <w:szCs w:val="20"/>
                <w:lang w:val="fr-FR"/>
              </w:rPr>
            </w:pPr>
          </w:p>
        </w:tc>
      </w:tr>
      <w:tr w:rsidR="005404AE" w:rsidRPr="00880085" w14:paraId="53D24929" w14:textId="77777777" w:rsidTr="004147E9">
        <w:trPr>
          <w:gridAfter w:val="1"/>
          <w:wAfter w:w="13" w:type="dxa"/>
        </w:trPr>
        <w:tc>
          <w:tcPr>
            <w:tcW w:w="473" w:type="dxa"/>
            <w:vMerge w:val="restart"/>
            <w:textDirection w:val="btLr"/>
          </w:tcPr>
          <w:p w14:paraId="4B7AECD7" w14:textId="28D837F3" w:rsidR="005404AE" w:rsidRPr="0070233E" w:rsidRDefault="005404AE" w:rsidP="005E526B">
            <w:pPr>
              <w:ind w:left="113" w:right="113"/>
              <w:jc w:val="center"/>
              <w:rPr>
                <w:rFonts w:eastAsia="Times New Roman" w:cstheme="majorHAnsi"/>
                <w:b/>
                <w:sz w:val="20"/>
                <w:szCs w:val="20"/>
              </w:rPr>
            </w:pPr>
            <w:r>
              <w:rPr>
                <w:rFonts w:eastAsia="Times New Roman" w:cstheme="majorHAnsi"/>
                <w:b/>
                <w:bCs/>
                <w:sz w:val="20"/>
                <w:szCs w:val="20"/>
                <w:lang w:val="fr-FR"/>
              </w:rPr>
              <w:t>Résultat intermédiaire</w:t>
            </w:r>
            <w:r w:rsidR="002C54BD">
              <w:rPr>
                <w:rFonts w:eastAsia="Times New Roman" w:cstheme="majorHAnsi"/>
                <w:b/>
                <w:bCs/>
                <w:sz w:val="20"/>
                <w:szCs w:val="20"/>
                <w:lang w:val="fr-FR"/>
              </w:rPr>
              <w:t> </w:t>
            </w:r>
            <w:r>
              <w:rPr>
                <w:rFonts w:eastAsia="Times New Roman" w:cstheme="majorHAnsi"/>
                <w:b/>
                <w:bCs/>
                <w:sz w:val="20"/>
                <w:szCs w:val="20"/>
                <w:lang w:val="fr-FR"/>
              </w:rPr>
              <w:t>1.4</w:t>
            </w:r>
          </w:p>
        </w:tc>
        <w:tc>
          <w:tcPr>
            <w:tcW w:w="4200" w:type="dxa"/>
          </w:tcPr>
          <w:p w14:paraId="45DCCDB8" w14:textId="5B79EBBC" w:rsidR="005404AE" w:rsidRPr="00BD3D80" w:rsidRDefault="0070233E" w:rsidP="005E526B">
            <w:pPr>
              <w:rPr>
                <w:rFonts w:eastAsia="Times New Roman" w:cstheme="majorHAnsi"/>
                <w:sz w:val="20"/>
                <w:szCs w:val="20"/>
                <w:lang w:val="fr-FR"/>
              </w:rPr>
            </w:pPr>
            <w:r>
              <w:rPr>
                <w:sz w:val="20"/>
                <w:szCs w:val="20"/>
                <w:lang w:val="fr-FR"/>
              </w:rPr>
              <w:t>1.4.1 Résultats des plaidoyers et des analyses menées par les ASC utilisés par les décideurs pour orienter la législation nationale et infranationale, l</w:t>
            </w:r>
            <w:r w:rsidR="002C54BD">
              <w:rPr>
                <w:sz w:val="20"/>
                <w:szCs w:val="20"/>
                <w:lang w:val="fr-FR"/>
              </w:rPr>
              <w:t>’</w:t>
            </w:r>
            <w:r>
              <w:rPr>
                <w:sz w:val="20"/>
                <w:szCs w:val="20"/>
                <w:lang w:val="fr-FR"/>
              </w:rPr>
              <w:t xml:space="preserve">élaboration des politiques, la planification et la budgétisation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tc>
        <w:tc>
          <w:tcPr>
            <w:tcW w:w="5811" w:type="dxa"/>
          </w:tcPr>
          <w:p w14:paraId="42CCEEF9" w14:textId="4A28BB03" w:rsidR="005404AE" w:rsidRPr="00BD3D80" w:rsidRDefault="005404AE" w:rsidP="00D57192">
            <w:pPr>
              <w:pStyle w:val="ListParagraph"/>
              <w:numPr>
                <w:ilvl w:val="0"/>
                <w:numId w:val="17"/>
              </w:numPr>
              <w:tabs>
                <w:tab w:val="left" w:pos="884"/>
                <w:tab w:val="right" w:pos="3294"/>
              </w:tabs>
              <w:spacing w:before="60" w:after="60"/>
              <w:contextualSpacing w:val="0"/>
              <w:jc w:val="left"/>
              <w:rPr>
                <w:sz w:val="20"/>
                <w:szCs w:val="20"/>
                <w:lang w:val="fr-FR"/>
              </w:rPr>
            </w:pPr>
            <w:r>
              <w:rPr>
                <w:sz w:val="20"/>
                <w:szCs w:val="20"/>
                <w:lang w:val="fr-FR"/>
              </w:rPr>
              <w:t>Nombre de plans nationaux et infranationaux</w:t>
            </w:r>
            <w:r>
              <w:rPr>
                <w:lang w:val="fr-FR"/>
              </w:rPr>
              <w:t xml:space="preserve"> </w:t>
            </w:r>
            <w:r>
              <w:rPr>
                <w:sz w:val="20"/>
                <w:szCs w:val="20"/>
                <w:lang w:val="fr-FR"/>
              </w:rPr>
              <w:t xml:space="preserve">(projets soumis au gouvernement pour approbation) qui intègrent clairement les contributions des ASC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0C57E51A" w14:textId="38C451BB" w:rsidR="00D57192" w:rsidRPr="00BD3D80" w:rsidRDefault="00D57192" w:rsidP="00D57192">
            <w:pPr>
              <w:pStyle w:val="ListParagraph"/>
              <w:numPr>
                <w:ilvl w:val="0"/>
                <w:numId w:val="17"/>
              </w:numPr>
              <w:tabs>
                <w:tab w:val="left" w:pos="884"/>
                <w:tab w:val="right" w:pos="3294"/>
              </w:tabs>
              <w:spacing w:before="60" w:after="60"/>
              <w:contextualSpacing w:val="0"/>
              <w:jc w:val="left"/>
              <w:rPr>
                <w:sz w:val="20"/>
                <w:szCs w:val="20"/>
                <w:lang w:val="fr-FR"/>
              </w:rPr>
            </w:pPr>
            <w:r>
              <w:rPr>
                <w:sz w:val="20"/>
                <w:szCs w:val="20"/>
                <w:lang w:val="fr-FR"/>
              </w:rPr>
              <w:t xml:space="preserve">Nombre de plans infranationaux (projets soumis au gouvernement pour approbation) qui intègrent clairement les contributions des ASC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376A8407" w14:textId="77777777" w:rsidR="00D57192" w:rsidRPr="00BD3D80" w:rsidRDefault="00D57192" w:rsidP="00B53EAE">
            <w:pPr>
              <w:pStyle w:val="ListParagraph"/>
              <w:tabs>
                <w:tab w:val="left" w:pos="884"/>
                <w:tab w:val="right" w:pos="3294"/>
              </w:tabs>
              <w:spacing w:before="60" w:after="60"/>
              <w:contextualSpacing w:val="0"/>
              <w:jc w:val="left"/>
              <w:rPr>
                <w:sz w:val="20"/>
                <w:szCs w:val="20"/>
                <w:lang w:val="fr-FR"/>
              </w:rPr>
            </w:pPr>
          </w:p>
          <w:p w14:paraId="4AF8AC36" w14:textId="07AC70BB" w:rsidR="005404AE" w:rsidRPr="00BD3D80" w:rsidRDefault="005404AE" w:rsidP="0070233E">
            <w:pPr>
              <w:pStyle w:val="ListParagraph"/>
              <w:numPr>
                <w:ilvl w:val="0"/>
                <w:numId w:val="17"/>
              </w:numPr>
              <w:tabs>
                <w:tab w:val="left" w:pos="884"/>
                <w:tab w:val="right" w:pos="3294"/>
              </w:tabs>
              <w:spacing w:before="60" w:after="60"/>
              <w:contextualSpacing w:val="0"/>
              <w:jc w:val="left"/>
              <w:rPr>
                <w:sz w:val="20"/>
                <w:szCs w:val="20"/>
                <w:lang w:val="fr-FR"/>
              </w:rPr>
            </w:pPr>
            <w:r>
              <w:rPr>
                <w:sz w:val="20"/>
                <w:szCs w:val="20"/>
                <w:lang w:val="fr-FR"/>
              </w:rPr>
              <w:t>Nombre de documents d</w:t>
            </w:r>
            <w:r w:rsidR="002C54BD">
              <w:rPr>
                <w:sz w:val="20"/>
                <w:szCs w:val="20"/>
                <w:lang w:val="fr-FR"/>
              </w:rPr>
              <w:t>’</w:t>
            </w:r>
            <w:r>
              <w:rPr>
                <w:sz w:val="20"/>
                <w:szCs w:val="20"/>
                <w:lang w:val="fr-FR"/>
              </w:rPr>
              <w:t xml:space="preserve">orientation préparés sur les questions de nutrition et </w:t>
            </w:r>
            <w:r w:rsidR="003D2FB5">
              <w:rPr>
                <w:sz w:val="20"/>
                <w:szCs w:val="20"/>
                <w:lang w:val="fr-FR"/>
              </w:rPr>
              <w:t>soumis</w:t>
            </w:r>
            <w:r>
              <w:rPr>
                <w:sz w:val="20"/>
                <w:szCs w:val="20"/>
                <w:lang w:val="fr-FR"/>
              </w:rPr>
              <w:t xml:space="preserve"> aux forums politiques</w:t>
            </w:r>
            <w:r w:rsidR="003D2FB5">
              <w:rPr>
                <w:sz w:val="20"/>
                <w:szCs w:val="20"/>
                <w:lang w:val="fr-FR"/>
              </w:rPr>
              <w:t xml:space="preserve">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 xml:space="preserve"> </w:t>
            </w:r>
            <w:r w:rsidR="003D2FB5">
              <w:rPr>
                <w:color w:val="ED7D31" w:themeColor="accent2"/>
                <w:sz w:val="20"/>
                <w:szCs w:val="20"/>
                <w:lang w:val="fr-FR"/>
              </w:rPr>
              <w:t>Produit</w:t>
            </w:r>
            <w:r w:rsidR="002C54BD">
              <w:rPr>
                <w:color w:val="ED7D31" w:themeColor="accent2"/>
                <w:sz w:val="20"/>
                <w:szCs w:val="20"/>
                <w:lang w:val="fr-FR"/>
              </w:rPr>
              <w:t> </w:t>
            </w:r>
            <w:r>
              <w:rPr>
                <w:color w:val="ED7D31" w:themeColor="accent2"/>
                <w:sz w:val="20"/>
                <w:szCs w:val="20"/>
                <w:lang w:val="fr-FR"/>
              </w:rPr>
              <w:t>1.3.3)</w:t>
            </w:r>
          </w:p>
          <w:p w14:paraId="04C6DD63" w14:textId="6749CBA5" w:rsidR="0060222F" w:rsidRPr="00BD3D80" w:rsidRDefault="0060222F" w:rsidP="0060222F">
            <w:pPr>
              <w:pStyle w:val="ListParagraph"/>
              <w:numPr>
                <w:ilvl w:val="0"/>
                <w:numId w:val="17"/>
              </w:numPr>
              <w:tabs>
                <w:tab w:val="left" w:pos="884"/>
                <w:tab w:val="right" w:pos="3294"/>
              </w:tabs>
              <w:spacing w:before="60" w:after="60"/>
              <w:contextualSpacing w:val="0"/>
              <w:jc w:val="left"/>
              <w:rPr>
                <w:sz w:val="20"/>
                <w:szCs w:val="20"/>
                <w:lang w:val="fr-FR"/>
              </w:rPr>
            </w:pPr>
            <w:r>
              <w:rPr>
                <w:sz w:val="20"/>
                <w:szCs w:val="20"/>
                <w:lang w:val="fr-FR"/>
              </w:rPr>
              <w:t>Nombre de documents d</w:t>
            </w:r>
            <w:r w:rsidR="002C54BD">
              <w:rPr>
                <w:sz w:val="20"/>
                <w:szCs w:val="20"/>
                <w:lang w:val="fr-FR"/>
              </w:rPr>
              <w:t>’</w:t>
            </w:r>
            <w:r>
              <w:rPr>
                <w:sz w:val="20"/>
                <w:szCs w:val="20"/>
                <w:lang w:val="fr-FR"/>
              </w:rPr>
              <w:t xml:space="preserve">orientation (produits par les </w:t>
            </w:r>
            <w:r w:rsidR="003D2FB5">
              <w:rPr>
                <w:sz w:val="20"/>
                <w:szCs w:val="20"/>
                <w:lang w:val="fr-FR"/>
              </w:rPr>
              <w:t>ASC</w:t>
            </w:r>
            <w:r>
              <w:rPr>
                <w:sz w:val="20"/>
                <w:szCs w:val="20"/>
                <w:lang w:val="fr-FR"/>
              </w:rPr>
              <w:t>) utilisés pour la planification, la budgétisation ou la mise en œuvre de la nutrition</w:t>
            </w:r>
            <w:r w:rsidR="003D2FB5">
              <w:rPr>
                <w:sz w:val="20"/>
                <w:szCs w:val="20"/>
                <w:lang w:val="fr-FR"/>
              </w:rPr>
              <w:t xml:space="preserve">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 xml:space="preserve"> </w:t>
            </w:r>
            <w:r w:rsidR="003D2FB5">
              <w:rPr>
                <w:color w:val="ED7D31" w:themeColor="accent2"/>
                <w:sz w:val="20"/>
                <w:szCs w:val="20"/>
                <w:lang w:val="fr-FR"/>
              </w:rPr>
              <w:t>P</w:t>
            </w:r>
            <w:r>
              <w:rPr>
                <w:color w:val="ED7D31" w:themeColor="accent2"/>
                <w:sz w:val="20"/>
                <w:szCs w:val="20"/>
                <w:lang w:val="fr-FR"/>
              </w:rPr>
              <w:t>roduit</w:t>
            </w:r>
            <w:r w:rsidR="002C54BD">
              <w:rPr>
                <w:color w:val="ED7D31" w:themeColor="accent2"/>
                <w:sz w:val="20"/>
                <w:szCs w:val="20"/>
                <w:lang w:val="fr-FR"/>
              </w:rPr>
              <w:t> </w:t>
            </w:r>
            <w:r>
              <w:rPr>
                <w:color w:val="ED7D31" w:themeColor="accent2"/>
                <w:sz w:val="20"/>
                <w:szCs w:val="20"/>
                <w:lang w:val="fr-FR"/>
              </w:rPr>
              <w:t>1.3.3)</w:t>
            </w:r>
          </w:p>
          <w:p w14:paraId="1FDE1995" w14:textId="10C1188E" w:rsidR="005404AE" w:rsidRPr="00BD3D80" w:rsidRDefault="005404AE" w:rsidP="0060222F">
            <w:pPr>
              <w:pStyle w:val="ListParagraph"/>
              <w:numPr>
                <w:ilvl w:val="0"/>
                <w:numId w:val="17"/>
              </w:numPr>
              <w:rPr>
                <w:sz w:val="20"/>
                <w:szCs w:val="20"/>
                <w:lang w:val="fr-FR"/>
              </w:rPr>
            </w:pPr>
            <w:r>
              <w:rPr>
                <w:sz w:val="20"/>
                <w:szCs w:val="20"/>
                <w:lang w:val="fr-FR"/>
              </w:rPr>
              <w:t>Preuve des positions de principe des ASC en rapport avec des changements d</w:t>
            </w:r>
            <w:r w:rsidR="002C54BD">
              <w:rPr>
                <w:sz w:val="20"/>
                <w:szCs w:val="20"/>
                <w:lang w:val="fr-FR"/>
              </w:rPr>
              <w:t>’</w:t>
            </w:r>
            <w:r>
              <w:rPr>
                <w:sz w:val="20"/>
                <w:szCs w:val="20"/>
                <w:lang w:val="fr-FR"/>
              </w:rPr>
              <w:t>orientations politiques spécifiques (nombre de rapports (rapports des médias, rapports officiels, documents d</w:t>
            </w:r>
            <w:r w:rsidR="002C54BD">
              <w:rPr>
                <w:sz w:val="20"/>
                <w:szCs w:val="20"/>
                <w:lang w:val="fr-FR"/>
              </w:rPr>
              <w:t>’</w:t>
            </w:r>
            <w:r>
              <w:rPr>
                <w:sz w:val="20"/>
                <w:szCs w:val="20"/>
                <w:lang w:val="fr-FR"/>
              </w:rPr>
              <w:t>information ou de synthèse) qui décrivent la position des ASC sur les changements d</w:t>
            </w:r>
            <w:r w:rsidR="002C54BD">
              <w:rPr>
                <w:sz w:val="20"/>
                <w:szCs w:val="20"/>
                <w:lang w:val="fr-FR"/>
              </w:rPr>
              <w:t>’</w:t>
            </w:r>
            <w:r>
              <w:rPr>
                <w:sz w:val="20"/>
                <w:szCs w:val="20"/>
                <w:lang w:val="fr-FR"/>
              </w:rPr>
              <w:t xml:space="preserve">orientation politiques en matière de nutrition)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1C121BC4" w14:textId="4D03D0C1" w:rsidR="00227D29" w:rsidRPr="00BD3D80" w:rsidRDefault="00227D29" w:rsidP="00227D29">
            <w:pPr>
              <w:pStyle w:val="ListParagraph"/>
              <w:numPr>
                <w:ilvl w:val="0"/>
                <w:numId w:val="17"/>
              </w:numPr>
              <w:rPr>
                <w:sz w:val="20"/>
                <w:szCs w:val="20"/>
                <w:lang w:val="fr-FR"/>
              </w:rPr>
            </w:pPr>
            <w:r>
              <w:rPr>
                <w:sz w:val="20"/>
                <w:szCs w:val="20"/>
                <w:lang w:val="fr-FR"/>
              </w:rPr>
              <w:lastRenderedPageBreak/>
              <w:t>Nombre de manifestations et d</w:t>
            </w:r>
            <w:r w:rsidR="002C54BD">
              <w:rPr>
                <w:sz w:val="20"/>
                <w:szCs w:val="20"/>
                <w:lang w:val="fr-FR"/>
              </w:rPr>
              <w:t>’</w:t>
            </w:r>
            <w:r>
              <w:rPr>
                <w:sz w:val="20"/>
                <w:szCs w:val="20"/>
                <w:lang w:val="fr-FR"/>
              </w:rPr>
              <w:t>actions menées pour sensibiliser les femmes et les jeunes à leurs droits en matière d</w:t>
            </w:r>
            <w:r w:rsidR="002C54BD">
              <w:rPr>
                <w:sz w:val="20"/>
                <w:szCs w:val="20"/>
                <w:lang w:val="fr-FR"/>
              </w:rPr>
              <w:t>’</w:t>
            </w:r>
            <w:r>
              <w:rPr>
                <w:sz w:val="20"/>
                <w:szCs w:val="20"/>
                <w:lang w:val="fr-FR"/>
              </w:rPr>
              <w:t xml:space="preserve">alimentation et de nutrition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40F360B8" w14:textId="27E4C3E3" w:rsidR="00D57192" w:rsidRPr="00BD3D80" w:rsidRDefault="00D57192" w:rsidP="00D57192">
            <w:pPr>
              <w:pStyle w:val="ListParagraph"/>
              <w:numPr>
                <w:ilvl w:val="0"/>
                <w:numId w:val="17"/>
              </w:numPr>
              <w:rPr>
                <w:sz w:val="20"/>
                <w:szCs w:val="20"/>
                <w:lang w:val="fr-FR"/>
              </w:rPr>
            </w:pPr>
            <w:r>
              <w:rPr>
                <w:sz w:val="20"/>
                <w:szCs w:val="20"/>
                <w:lang w:val="fr-FR"/>
              </w:rPr>
              <w:t>Nombre de personnes touchées grâce à des manifestations et actions menées pour sensibiliser les femmes et les jeunes à leurs droits en matière d</w:t>
            </w:r>
            <w:r w:rsidR="002C54BD">
              <w:rPr>
                <w:sz w:val="20"/>
                <w:szCs w:val="20"/>
                <w:lang w:val="fr-FR"/>
              </w:rPr>
              <w:t>’</w:t>
            </w:r>
            <w:r>
              <w:rPr>
                <w:sz w:val="20"/>
                <w:szCs w:val="20"/>
                <w:lang w:val="fr-FR"/>
              </w:rPr>
              <w:t xml:space="preserve">alimentation et de nutrition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tc>
      </w:tr>
      <w:tr w:rsidR="005404AE" w:rsidRPr="00880085" w14:paraId="515BA0A8" w14:textId="77777777" w:rsidTr="004147E9">
        <w:trPr>
          <w:gridAfter w:val="1"/>
          <w:wAfter w:w="13" w:type="dxa"/>
        </w:trPr>
        <w:tc>
          <w:tcPr>
            <w:tcW w:w="473" w:type="dxa"/>
            <w:vMerge/>
          </w:tcPr>
          <w:p w14:paraId="454D8D53" w14:textId="77777777" w:rsidR="005404AE" w:rsidRPr="00BD3D80" w:rsidRDefault="005404AE" w:rsidP="005E526B">
            <w:pPr>
              <w:rPr>
                <w:rFonts w:eastAsia="Times New Roman" w:cstheme="majorHAnsi"/>
                <w:sz w:val="20"/>
                <w:szCs w:val="20"/>
                <w:lang w:val="fr-FR"/>
              </w:rPr>
            </w:pPr>
          </w:p>
        </w:tc>
        <w:tc>
          <w:tcPr>
            <w:tcW w:w="4200" w:type="dxa"/>
          </w:tcPr>
          <w:p w14:paraId="29C303A7" w14:textId="22FDAAA4" w:rsidR="005404AE" w:rsidRPr="00BD3D80" w:rsidRDefault="0070233E" w:rsidP="005E526B">
            <w:pPr>
              <w:rPr>
                <w:rFonts w:eastAsia="Times New Roman" w:cstheme="majorHAnsi"/>
                <w:sz w:val="20"/>
                <w:szCs w:val="20"/>
                <w:lang w:val="fr-FR"/>
              </w:rPr>
            </w:pPr>
            <w:r>
              <w:rPr>
                <w:sz w:val="20"/>
                <w:szCs w:val="20"/>
                <w:lang w:val="fr-FR"/>
              </w:rPr>
              <w:t>1.4.1 Plan d</w:t>
            </w:r>
            <w:r w:rsidR="002C54BD">
              <w:rPr>
                <w:sz w:val="20"/>
                <w:szCs w:val="20"/>
                <w:lang w:val="fr-FR"/>
              </w:rPr>
              <w:t>’</w:t>
            </w:r>
            <w:r>
              <w:rPr>
                <w:sz w:val="20"/>
                <w:szCs w:val="20"/>
                <w:lang w:val="fr-FR"/>
              </w:rPr>
              <w:t xml:space="preserve">action pour contribuer aux plans nationaux ou </w:t>
            </w:r>
            <w:r w:rsidR="00F11FAE">
              <w:rPr>
                <w:sz w:val="20"/>
                <w:szCs w:val="20"/>
                <w:lang w:val="fr-FR"/>
              </w:rPr>
              <w:t>infranationaux</w:t>
            </w:r>
          </w:p>
        </w:tc>
        <w:tc>
          <w:tcPr>
            <w:tcW w:w="5811" w:type="dxa"/>
          </w:tcPr>
          <w:p w14:paraId="6E9B2808" w14:textId="17B03A2A"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de plans d</w:t>
            </w:r>
            <w:r w:rsidR="002C54BD">
              <w:rPr>
                <w:rFonts w:eastAsia="Times New Roman" w:cstheme="majorHAnsi"/>
                <w:sz w:val="20"/>
                <w:szCs w:val="20"/>
                <w:lang w:val="fr-FR"/>
              </w:rPr>
              <w:t>’</w:t>
            </w:r>
            <w:r>
              <w:rPr>
                <w:rFonts w:eastAsia="Times New Roman" w:cstheme="majorHAnsi"/>
                <w:sz w:val="20"/>
                <w:szCs w:val="20"/>
                <w:lang w:val="fr-FR"/>
              </w:rPr>
              <w:t>action (nationaux ou infranationaux)</w:t>
            </w:r>
          </w:p>
        </w:tc>
      </w:tr>
      <w:tr w:rsidR="0070233E" w:rsidRPr="00880085" w14:paraId="67937D02" w14:textId="77777777" w:rsidTr="004147E9">
        <w:trPr>
          <w:gridAfter w:val="1"/>
          <w:wAfter w:w="13" w:type="dxa"/>
        </w:trPr>
        <w:tc>
          <w:tcPr>
            <w:tcW w:w="473" w:type="dxa"/>
            <w:vMerge/>
          </w:tcPr>
          <w:p w14:paraId="332783B6" w14:textId="77777777" w:rsidR="0070233E" w:rsidRPr="00BD3D80" w:rsidRDefault="0070233E" w:rsidP="005E526B">
            <w:pPr>
              <w:rPr>
                <w:rFonts w:eastAsia="Times New Roman" w:cstheme="majorHAnsi"/>
                <w:sz w:val="20"/>
                <w:szCs w:val="20"/>
                <w:lang w:val="fr-FR"/>
              </w:rPr>
            </w:pPr>
          </w:p>
        </w:tc>
        <w:tc>
          <w:tcPr>
            <w:tcW w:w="4200" w:type="dxa"/>
          </w:tcPr>
          <w:p w14:paraId="0DF4A8B9" w14:textId="1C7BB46B" w:rsidR="0070233E" w:rsidRPr="00BD3D80" w:rsidRDefault="00A30EAD" w:rsidP="00354CE4">
            <w:pPr>
              <w:rPr>
                <w:rFonts w:eastAsia="Times New Roman" w:cstheme="majorHAnsi"/>
                <w:sz w:val="20"/>
                <w:szCs w:val="20"/>
                <w:lang w:val="fr-FR"/>
              </w:rPr>
            </w:pPr>
            <w:r>
              <w:rPr>
                <w:sz w:val="20"/>
                <w:szCs w:val="20"/>
                <w:lang w:val="fr-FR"/>
              </w:rPr>
              <w:t xml:space="preserve">1.4.2 Espaces nouveaux ou élargis pour permettre à la SC de contribuer à la formulation du PNN, aux révisions </w:t>
            </w:r>
            <w:r w:rsidR="0039672B">
              <w:rPr>
                <w:sz w:val="20"/>
                <w:szCs w:val="20"/>
                <w:lang w:val="fr-FR"/>
              </w:rPr>
              <w:t>définies</w:t>
            </w:r>
            <w:r>
              <w:rPr>
                <w:sz w:val="20"/>
                <w:szCs w:val="20"/>
                <w:lang w:val="fr-FR"/>
              </w:rPr>
              <w:t>/créées</w:t>
            </w:r>
          </w:p>
        </w:tc>
        <w:tc>
          <w:tcPr>
            <w:tcW w:w="5811" w:type="dxa"/>
          </w:tcPr>
          <w:p w14:paraId="7DF97F3F" w14:textId="3C8A0E5C" w:rsidR="0070233E" w:rsidRPr="00BD3D80" w:rsidRDefault="0070233E" w:rsidP="00354CE4">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opportunités pour la SC d</w:t>
            </w:r>
            <w:r w:rsidR="002C54BD">
              <w:rPr>
                <w:rFonts w:eastAsia="Times New Roman" w:cstheme="majorHAnsi"/>
                <w:sz w:val="20"/>
                <w:szCs w:val="20"/>
                <w:lang w:val="fr-FR"/>
              </w:rPr>
              <w:t>’</w:t>
            </w:r>
            <w:r>
              <w:rPr>
                <w:rFonts w:eastAsia="Times New Roman" w:cstheme="majorHAnsi"/>
                <w:sz w:val="20"/>
                <w:szCs w:val="20"/>
                <w:lang w:val="fr-FR"/>
              </w:rPr>
              <w:t>influencer le P</w:t>
            </w:r>
            <w:r w:rsidR="0039672B">
              <w:rPr>
                <w:rFonts w:eastAsia="Times New Roman" w:cstheme="majorHAnsi"/>
                <w:sz w:val="20"/>
                <w:szCs w:val="20"/>
                <w:lang w:val="fr-FR"/>
              </w:rPr>
              <w:t>NN</w:t>
            </w:r>
            <w:r>
              <w:rPr>
                <w:rFonts w:eastAsia="Times New Roman" w:cstheme="majorHAnsi"/>
                <w:sz w:val="20"/>
                <w:szCs w:val="20"/>
                <w:lang w:val="fr-FR"/>
              </w:rPr>
              <w:t xml:space="preserve"> ou d</w:t>
            </w:r>
            <w:r w:rsidR="002C54BD">
              <w:rPr>
                <w:rFonts w:eastAsia="Times New Roman" w:cstheme="majorHAnsi"/>
                <w:sz w:val="20"/>
                <w:szCs w:val="20"/>
                <w:lang w:val="fr-FR"/>
              </w:rPr>
              <w:t>’</w:t>
            </w:r>
            <w:r>
              <w:rPr>
                <w:rFonts w:eastAsia="Times New Roman" w:cstheme="majorHAnsi"/>
                <w:sz w:val="20"/>
                <w:szCs w:val="20"/>
                <w:lang w:val="fr-FR"/>
              </w:rPr>
              <w:t>y contribuer</w:t>
            </w:r>
          </w:p>
        </w:tc>
      </w:tr>
      <w:tr w:rsidR="0070233E" w:rsidRPr="00880085" w14:paraId="074AEDBE" w14:textId="77777777" w:rsidTr="004147E9">
        <w:trPr>
          <w:gridAfter w:val="1"/>
          <w:wAfter w:w="13" w:type="dxa"/>
        </w:trPr>
        <w:tc>
          <w:tcPr>
            <w:tcW w:w="473" w:type="dxa"/>
            <w:vMerge/>
          </w:tcPr>
          <w:p w14:paraId="21A14364" w14:textId="77777777" w:rsidR="0070233E" w:rsidRPr="00BD3D80" w:rsidRDefault="0070233E" w:rsidP="005E526B">
            <w:pPr>
              <w:rPr>
                <w:rFonts w:eastAsia="Times New Roman" w:cstheme="majorHAnsi"/>
                <w:sz w:val="20"/>
                <w:szCs w:val="20"/>
                <w:lang w:val="fr-FR"/>
              </w:rPr>
            </w:pPr>
          </w:p>
        </w:tc>
        <w:tc>
          <w:tcPr>
            <w:tcW w:w="4200" w:type="dxa"/>
          </w:tcPr>
          <w:p w14:paraId="42A31EB5" w14:textId="50C51FBF" w:rsidR="0070233E" w:rsidRPr="00BD3D80" w:rsidRDefault="0070233E" w:rsidP="00354CE4">
            <w:pPr>
              <w:rPr>
                <w:rFonts w:eastAsia="Times New Roman" w:cstheme="majorHAnsi"/>
                <w:sz w:val="20"/>
                <w:szCs w:val="20"/>
                <w:lang w:val="fr-FR"/>
              </w:rPr>
            </w:pPr>
            <w:r>
              <w:rPr>
                <w:sz w:val="20"/>
                <w:szCs w:val="20"/>
                <w:lang w:val="fr-FR"/>
              </w:rPr>
              <w:t>1.4.3 Les citoyens vulnérables, marginalisés, les femmes, les jeunes particip</w:t>
            </w:r>
            <w:r w:rsidR="005244D2">
              <w:rPr>
                <w:sz w:val="20"/>
                <w:szCs w:val="20"/>
                <w:lang w:val="fr-FR"/>
              </w:rPr>
              <w:t>ent</w:t>
            </w:r>
            <w:r>
              <w:rPr>
                <w:sz w:val="20"/>
                <w:szCs w:val="20"/>
                <w:lang w:val="fr-FR"/>
              </w:rPr>
              <w:t>/contribu</w:t>
            </w:r>
            <w:r w:rsidR="005244D2">
              <w:rPr>
                <w:sz w:val="20"/>
                <w:szCs w:val="20"/>
                <w:lang w:val="fr-FR"/>
              </w:rPr>
              <w:t>ent</w:t>
            </w:r>
            <w:r>
              <w:rPr>
                <w:sz w:val="20"/>
                <w:szCs w:val="20"/>
                <w:lang w:val="fr-FR"/>
              </w:rPr>
              <w:t xml:space="preserve"> directement aux consultations/discussions </w:t>
            </w:r>
            <w:r w:rsidR="005244D2">
              <w:rPr>
                <w:sz w:val="20"/>
                <w:szCs w:val="20"/>
                <w:lang w:val="fr-FR"/>
              </w:rPr>
              <w:t>sur le</w:t>
            </w:r>
            <w:r>
              <w:rPr>
                <w:sz w:val="20"/>
                <w:szCs w:val="20"/>
                <w:lang w:val="fr-FR"/>
              </w:rPr>
              <w:t xml:space="preserve"> PNN</w:t>
            </w:r>
          </w:p>
        </w:tc>
        <w:tc>
          <w:tcPr>
            <w:tcW w:w="5811" w:type="dxa"/>
          </w:tcPr>
          <w:p w14:paraId="06DDD542" w14:textId="7B72AE60" w:rsidR="0070233E" w:rsidRPr="00BD3D80" w:rsidRDefault="0070233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de citoyens directement impliqués dans les consultations/</w:t>
            </w:r>
            <w:r w:rsidR="005244D2">
              <w:rPr>
                <w:rFonts w:eastAsia="Times New Roman" w:cstheme="majorHAnsi"/>
                <w:sz w:val="20"/>
                <w:szCs w:val="20"/>
                <w:lang w:val="fr-FR"/>
              </w:rPr>
              <w:t>discussions</w:t>
            </w:r>
            <w:r>
              <w:rPr>
                <w:rFonts w:eastAsia="Times New Roman" w:cstheme="majorHAnsi"/>
                <w:sz w:val="20"/>
                <w:szCs w:val="20"/>
                <w:lang w:val="fr-FR"/>
              </w:rPr>
              <w:t xml:space="preserve"> sur le PNN au niveau national ou infranational (ventilé</w:t>
            </w:r>
            <w:r w:rsidR="005244D2">
              <w:rPr>
                <w:rFonts w:eastAsia="Times New Roman" w:cstheme="majorHAnsi"/>
                <w:sz w:val="20"/>
                <w:szCs w:val="20"/>
                <w:lang w:val="fr-FR"/>
              </w:rPr>
              <w:t>s</w:t>
            </w:r>
            <w:r>
              <w:rPr>
                <w:rFonts w:eastAsia="Times New Roman" w:cstheme="majorHAnsi"/>
                <w:sz w:val="20"/>
                <w:szCs w:val="20"/>
                <w:lang w:val="fr-FR"/>
              </w:rPr>
              <w:t xml:space="preserve"> par sexe, </w:t>
            </w:r>
            <w:r w:rsidR="005244D2">
              <w:rPr>
                <w:rFonts w:eastAsia="Times New Roman" w:cstheme="majorHAnsi"/>
                <w:sz w:val="20"/>
                <w:szCs w:val="20"/>
                <w:lang w:val="fr-FR"/>
              </w:rPr>
              <w:t xml:space="preserve">niveau </w:t>
            </w:r>
            <w:r>
              <w:rPr>
                <w:rFonts w:eastAsia="Times New Roman" w:cstheme="majorHAnsi"/>
                <w:sz w:val="20"/>
                <w:szCs w:val="20"/>
                <w:lang w:val="fr-FR"/>
              </w:rPr>
              <w:t>national/infranational)</w:t>
            </w:r>
          </w:p>
        </w:tc>
      </w:tr>
      <w:tr w:rsidR="005404AE" w:rsidRPr="00880085" w14:paraId="54C03928" w14:textId="77777777" w:rsidTr="004147E9">
        <w:trPr>
          <w:gridAfter w:val="1"/>
          <w:wAfter w:w="13" w:type="dxa"/>
        </w:trPr>
        <w:tc>
          <w:tcPr>
            <w:tcW w:w="473" w:type="dxa"/>
            <w:vMerge/>
          </w:tcPr>
          <w:p w14:paraId="432F40A5" w14:textId="77777777" w:rsidR="005404AE" w:rsidRPr="00BD3D80" w:rsidRDefault="005404AE" w:rsidP="005E526B">
            <w:pPr>
              <w:rPr>
                <w:rFonts w:eastAsia="Times New Roman" w:cstheme="majorHAnsi"/>
                <w:sz w:val="20"/>
                <w:szCs w:val="20"/>
                <w:lang w:val="fr-FR"/>
              </w:rPr>
            </w:pPr>
          </w:p>
        </w:tc>
        <w:tc>
          <w:tcPr>
            <w:tcW w:w="4200" w:type="dxa"/>
          </w:tcPr>
          <w:p w14:paraId="06CFDE33" w14:textId="355FC90A" w:rsidR="005404AE" w:rsidRPr="00BD3D80" w:rsidRDefault="00A30EAD" w:rsidP="005E526B">
            <w:pPr>
              <w:rPr>
                <w:rFonts w:eastAsia="Times New Roman" w:cstheme="majorHAnsi"/>
                <w:sz w:val="20"/>
                <w:szCs w:val="20"/>
                <w:lang w:val="fr-FR"/>
              </w:rPr>
            </w:pPr>
            <w:r>
              <w:rPr>
                <w:sz w:val="20"/>
                <w:szCs w:val="20"/>
                <w:lang w:val="fr-FR"/>
              </w:rPr>
              <w:t>1.4.4 Données collectées et études de cas produites et diffusées</w:t>
            </w:r>
          </w:p>
          <w:p w14:paraId="6F8BFF59" w14:textId="77777777" w:rsidR="005404AE" w:rsidRPr="00BD3D80" w:rsidRDefault="005404AE" w:rsidP="005E526B">
            <w:pPr>
              <w:rPr>
                <w:rFonts w:eastAsia="Times New Roman" w:cstheme="majorHAnsi"/>
                <w:sz w:val="20"/>
                <w:szCs w:val="20"/>
                <w:lang w:val="fr-FR"/>
              </w:rPr>
            </w:pPr>
          </w:p>
        </w:tc>
        <w:tc>
          <w:tcPr>
            <w:tcW w:w="5811" w:type="dxa"/>
          </w:tcPr>
          <w:p w14:paraId="68CFFBB5" w14:textId="57736503"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de nouveaux ensembles de données disponibles (par thème et au niveau national ou infranational)</w:t>
            </w:r>
          </w:p>
          <w:p w14:paraId="048A9D46" w14:textId="500FC13C" w:rsidR="005404AE" w:rsidRPr="00BD3D80" w:rsidRDefault="005404AE" w:rsidP="0070233E">
            <w:pPr>
              <w:pStyle w:val="ListParagraph"/>
              <w:numPr>
                <w:ilvl w:val="0"/>
                <w:numId w:val="17"/>
              </w:numPr>
              <w:rPr>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études de cas fondées sur des données probantes produites et diffusées (par thème)</w:t>
            </w:r>
          </w:p>
        </w:tc>
      </w:tr>
      <w:tr w:rsidR="005404AE" w14:paraId="4BA9FE8F" w14:textId="77777777" w:rsidTr="004147E9">
        <w:trPr>
          <w:gridAfter w:val="1"/>
          <w:wAfter w:w="13" w:type="dxa"/>
        </w:trPr>
        <w:tc>
          <w:tcPr>
            <w:tcW w:w="473" w:type="dxa"/>
            <w:vMerge/>
          </w:tcPr>
          <w:p w14:paraId="6D5D8C3E" w14:textId="77777777" w:rsidR="005404AE" w:rsidRPr="00BD3D80" w:rsidRDefault="005404AE" w:rsidP="005E526B">
            <w:pPr>
              <w:rPr>
                <w:rFonts w:eastAsia="Times New Roman" w:cstheme="majorHAnsi"/>
                <w:sz w:val="20"/>
                <w:szCs w:val="20"/>
                <w:lang w:val="fr-FR"/>
              </w:rPr>
            </w:pPr>
          </w:p>
        </w:tc>
        <w:tc>
          <w:tcPr>
            <w:tcW w:w="4200" w:type="dxa"/>
          </w:tcPr>
          <w:p w14:paraId="24687B2E" w14:textId="0B502E51" w:rsidR="005404AE" w:rsidRPr="00BD3D80" w:rsidRDefault="00A30EAD" w:rsidP="005E526B">
            <w:pPr>
              <w:rPr>
                <w:rFonts w:eastAsia="Times New Roman" w:cstheme="majorHAnsi"/>
                <w:sz w:val="20"/>
                <w:szCs w:val="20"/>
                <w:lang w:val="fr-FR"/>
              </w:rPr>
            </w:pPr>
            <w:r>
              <w:rPr>
                <w:sz w:val="20"/>
                <w:szCs w:val="20"/>
                <w:lang w:val="fr-FR"/>
              </w:rPr>
              <w:t xml:space="preserve">1.4.5 Évaluation du </w:t>
            </w:r>
            <w:r w:rsidR="0029661A">
              <w:rPr>
                <w:sz w:val="20"/>
                <w:szCs w:val="20"/>
                <w:lang w:val="fr-FR"/>
              </w:rPr>
              <w:t>plan national de nutrition</w:t>
            </w:r>
            <w:r>
              <w:rPr>
                <w:sz w:val="20"/>
                <w:szCs w:val="20"/>
                <w:lang w:val="fr-FR"/>
              </w:rPr>
              <w:t xml:space="preserve"> en utilisant la liste de contrôle du PNN de SUN</w:t>
            </w:r>
          </w:p>
        </w:tc>
        <w:tc>
          <w:tcPr>
            <w:tcW w:w="5811" w:type="dxa"/>
          </w:tcPr>
          <w:p w14:paraId="574A6349" w14:textId="77777777" w:rsidR="005404AE" w:rsidRPr="0070233E" w:rsidRDefault="005404AE" w:rsidP="0070233E">
            <w:pPr>
              <w:pStyle w:val="ListParagraph"/>
              <w:numPr>
                <w:ilvl w:val="0"/>
                <w:numId w:val="17"/>
              </w:numPr>
              <w:rPr>
                <w:rFonts w:eastAsia="Times New Roman" w:cstheme="majorHAnsi"/>
                <w:sz w:val="20"/>
                <w:szCs w:val="20"/>
              </w:rPr>
            </w:pPr>
            <w:r>
              <w:rPr>
                <w:rFonts w:eastAsia="Times New Roman" w:cstheme="majorHAnsi"/>
                <w:sz w:val="20"/>
                <w:szCs w:val="20"/>
                <w:lang w:val="fr-FR"/>
              </w:rPr>
              <w:t>Évaluation réalisée</w:t>
            </w:r>
          </w:p>
          <w:p w14:paraId="5BCFBD9C" w14:textId="77777777" w:rsidR="005404AE" w:rsidRPr="0070233E" w:rsidRDefault="005404AE" w:rsidP="0070233E">
            <w:pPr>
              <w:pStyle w:val="ListParagraph"/>
              <w:numPr>
                <w:ilvl w:val="0"/>
                <w:numId w:val="17"/>
              </w:numPr>
              <w:rPr>
                <w:sz w:val="20"/>
                <w:szCs w:val="20"/>
              </w:rPr>
            </w:pPr>
            <w:r>
              <w:rPr>
                <w:sz w:val="20"/>
                <w:szCs w:val="20"/>
                <w:lang w:val="fr-FR"/>
              </w:rPr>
              <w:t>Évaluation diffusée</w:t>
            </w:r>
          </w:p>
        </w:tc>
      </w:tr>
      <w:tr w:rsidR="005404AE" w:rsidRPr="00880085" w14:paraId="0F4AD6D2" w14:textId="77777777" w:rsidTr="004147E9">
        <w:trPr>
          <w:gridAfter w:val="1"/>
          <w:wAfter w:w="13" w:type="dxa"/>
        </w:trPr>
        <w:tc>
          <w:tcPr>
            <w:tcW w:w="473" w:type="dxa"/>
            <w:vMerge/>
          </w:tcPr>
          <w:p w14:paraId="53979B93" w14:textId="77777777" w:rsidR="005404AE" w:rsidRPr="0070233E" w:rsidRDefault="005404AE" w:rsidP="005E526B">
            <w:pPr>
              <w:rPr>
                <w:rFonts w:eastAsia="Times New Roman" w:cstheme="majorHAnsi"/>
                <w:sz w:val="20"/>
                <w:szCs w:val="20"/>
              </w:rPr>
            </w:pPr>
          </w:p>
        </w:tc>
        <w:tc>
          <w:tcPr>
            <w:tcW w:w="4200" w:type="dxa"/>
          </w:tcPr>
          <w:p w14:paraId="7A383841" w14:textId="5A1C7585" w:rsidR="005404AE" w:rsidRPr="00BD3D80" w:rsidRDefault="00A30EAD" w:rsidP="005E526B">
            <w:pPr>
              <w:rPr>
                <w:rFonts w:eastAsia="Times New Roman" w:cstheme="majorHAnsi"/>
                <w:sz w:val="20"/>
                <w:szCs w:val="20"/>
                <w:lang w:val="fr-FR"/>
              </w:rPr>
            </w:pPr>
            <w:r>
              <w:rPr>
                <w:sz w:val="20"/>
                <w:szCs w:val="20"/>
                <w:lang w:val="fr-FR"/>
              </w:rPr>
              <w:t>1.4.6 Existence d</w:t>
            </w:r>
            <w:r w:rsidR="002C54BD">
              <w:rPr>
                <w:sz w:val="20"/>
                <w:szCs w:val="20"/>
                <w:lang w:val="fr-FR"/>
              </w:rPr>
              <w:t>’</w:t>
            </w:r>
            <w:r>
              <w:rPr>
                <w:sz w:val="20"/>
                <w:szCs w:val="20"/>
                <w:lang w:val="fr-FR"/>
              </w:rPr>
              <w:t>une vision, d</w:t>
            </w:r>
            <w:r w:rsidR="002C54BD">
              <w:rPr>
                <w:sz w:val="20"/>
                <w:szCs w:val="20"/>
                <w:lang w:val="fr-FR"/>
              </w:rPr>
              <w:t>’</w:t>
            </w:r>
            <w:r>
              <w:rPr>
                <w:sz w:val="20"/>
                <w:szCs w:val="20"/>
                <w:lang w:val="fr-FR"/>
              </w:rPr>
              <w:t>une stratégie et de plans de plaidoyer communs aux OSC membres de l</w:t>
            </w:r>
            <w:r w:rsidR="002C54BD">
              <w:rPr>
                <w:sz w:val="20"/>
                <w:szCs w:val="20"/>
                <w:lang w:val="fr-FR"/>
              </w:rPr>
              <w:t>’</w:t>
            </w:r>
            <w:r>
              <w:rPr>
                <w:sz w:val="20"/>
                <w:szCs w:val="20"/>
                <w:lang w:val="fr-FR"/>
              </w:rPr>
              <w:t>ASC</w:t>
            </w:r>
          </w:p>
          <w:p w14:paraId="59D31E5B" w14:textId="77777777" w:rsidR="005404AE" w:rsidRPr="00BD3D80" w:rsidRDefault="005404AE" w:rsidP="005E526B">
            <w:pPr>
              <w:rPr>
                <w:rFonts w:eastAsia="Times New Roman" w:cstheme="majorHAnsi"/>
                <w:sz w:val="20"/>
                <w:szCs w:val="20"/>
                <w:lang w:val="fr-FR"/>
              </w:rPr>
            </w:pPr>
          </w:p>
          <w:p w14:paraId="134075EF" w14:textId="77777777" w:rsidR="005404AE" w:rsidRPr="00BD3D80" w:rsidRDefault="005404AE" w:rsidP="005E526B">
            <w:pPr>
              <w:rPr>
                <w:rFonts w:eastAsia="Times New Roman" w:cstheme="majorHAnsi"/>
                <w:sz w:val="20"/>
                <w:szCs w:val="20"/>
                <w:lang w:val="fr-FR"/>
              </w:rPr>
            </w:pPr>
          </w:p>
        </w:tc>
        <w:tc>
          <w:tcPr>
            <w:tcW w:w="5811" w:type="dxa"/>
          </w:tcPr>
          <w:p w14:paraId="2AF90261" w14:textId="2437A3BE"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OSC impliquées dans le processus de planification et d</w:t>
            </w:r>
            <w:r w:rsidR="002C54BD">
              <w:rPr>
                <w:rFonts w:eastAsia="Times New Roman" w:cstheme="majorHAnsi"/>
                <w:sz w:val="20"/>
                <w:szCs w:val="20"/>
                <w:lang w:val="fr-FR"/>
              </w:rPr>
              <w:t>’</w:t>
            </w:r>
            <w:r>
              <w:rPr>
                <w:rFonts w:eastAsia="Times New Roman" w:cstheme="majorHAnsi"/>
                <w:sz w:val="20"/>
                <w:szCs w:val="20"/>
                <w:lang w:val="fr-FR"/>
              </w:rPr>
              <w:t xml:space="preserve">élaboration/révision de la stratégie de plaidoyer (ventilées </w:t>
            </w:r>
            <w:r w:rsidR="00CD2763">
              <w:rPr>
                <w:rFonts w:eastAsia="Times New Roman" w:cstheme="majorHAnsi"/>
                <w:sz w:val="20"/>
                <w:szCs w:val="20"/>
                <w:lang w:val="fr-FR"/>
              </w:rPr>
              <w:t>au niveau national et infranational</w:t>
            </w:r>
            <w:r>
              <w:rPr>
                <w:rFonts w:eastAsia="Times New Roman" w:cstheme="majorHAnsi"/>
                <w:sz w:val="20"/>
                <w:szCs w:val="20"/>
                <w:lang w:val="fr-FR"/>
              </w:rPr>
              <w:t>)</w:t>
            </w:r>
          </w:p>
          <w:p w14:paraId="2DDD11B1" w14:textId="39A808E0"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OSC activement impliquées dans des activités de plaidoyer au niveau national et infranational</w:t>
            </w:r>
          </w:p>
          <w:p w14:paraId="14FC6D99" w14:textId="26F855B1"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de formations, d</w:t>
            </w:r>
            <w:r w:rsidR="002C54BD">
              <w:rPr>
                <w:rFonts w:eastAsia="Times New Roman" w:cstheme="majorHAnsi"/>
                <w:sz w:val="20"/>
                <w:szCs w:val="20"/>
                <w:lang w:val="fr-FR"/>
              </w:rPr>
              <w:t>’</w:t>
            </w:r>
            <w:r>
              <w:rPr>
                <w:rFonts w:eastAsia="Times New Roman" w:cstheme="majorHAnsi"/>
                <w:sz w:val="20"/>
                <w:szCs w:val="20"/>
                <w:lang w:val="fr-FR"/>
              </w:rPr>
              <w:t>activités de sensibilisation pour les membres des OSC pour favoriser une vision commune</w:t>
            </w:r>
          </w:p>
          <w:p w14:paraId="33054633" w14:textId="77777777" w:rsidR="005404AE" w:rsidRPr="00BD3D80" w:rsidRDefault="005404AE" w:rsidP="0070233E">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Nombre de participants aux formations/activités de sensibilisation (ventilés par sexe)</w:t>
            </w:r>
          </w:p>
          <w:p w14:paraId="258C37F1" w14:textId="3F873790" w:rsidR="005404AE" w:rsidRPr="00BD3D80" w:rsidRDefault="005404AE" w:rsidP="005E526B">
            <w:pPr>
              <w:pStyle w:val="ListParagraph"/>
              <w:numPr>
                <w:ilvl w:val="0"/>
                <w:numId w:val="17"/>
              </w:numPr>
              <w:rPr>
                <w:rFonts w:eastAsia="Times New Roman" w:cstheme="majorHAnsi"/>
                <w:sz w:val="20"/>
                <w:szCs w:val="20"/>
                <w:lang w:val="fr-FR"/>
              </w:rPr>
            </w:pPr>
            <w:r>
              <w:rPr>
                <w:rFonts w:eastAsia="Times New Roman" w:cstheme="majorHAnsi"/>
                <w:sz w:val="20"/>
                <w:szCs w:val="20"/>
                <w:lang w:val="fr-FR"/>
              </w:rPr>
              <w:t>Stratégie et plan de travail de plaidoyer des OSC disponibles</w:t>
            </w:r>
          </w:p>
        </w:tc>
      </w:tr>
    </w:tbl>
    <w:p w14:paraId="71360456" w14:textId="7D87C5E1" w:rsidR="005404AE" w:rsidRPr="00BD3D80" w:rsidRDefault="005404AE" w:rsidP="005404AE">
      <w:pPr>
        <w:pStyle w:val="Heading3"/>
        <w:rPr>
          <w:b/>
          <w:sz w:val="28"/>
          <w:szCs w:val="28"/>
          <w:lang w:val="fr-FR"/>
        </w:rPr>
      </w:pPr>
      <w:r>
        <w:rPr>
          <w:b/>
          <w:bCs/>
          <w:color w:val="FFC000" w:themeColor="accent4"/>
          <w:sz w:val="28"/>
          <w:szCs w:val="28"/>
          <w:lang w:val="fr-FR"/>
        </w:rPr>
        <w:t xml:space="preserve"> </w:t>
      </w:r>
      <w:r>
        <w:rPr>
          <w:b/>
          <w:bCs/>
          <w:sz w:val="28"/>
          <w:szCs w:val="28"/>
          <w:lang w:val="fr-FR"/>
        </w:rPr>
        <w:br w:type="page"/>
      </w:r>
    </w:p>
    <w:p w14:paraId="4931EC5B" w14:textId="77777777" w:rsidR="003D1EE0" w:rsidRPr="00BD3D80" w:rsidRDefault="003D1EE0">
      <w:pPr>
        <w:rPr>
          <w:lang w:val="fr-FR"/>
        </w:rPr>
      </w:pPr>
    </w:p>
    <w:p w14:paraId="0755F30D" w14:textId="17FEEB77" w:rsidR="003D1EE0" w:rsidRPr="00BD3D80" w:rsidRDefault="003D1EE0" w:rsidP="00834C72">
      <w:pPr>
        <w:pStyle w:val="Heading2"/>
        <w:rPr>
          <w:rFonts w:eastAsiaTheme="minorHAnsi"/>
          <w:b/>
          <w:color w:val="FFC000" w:themeColor="accent4"/>
          <w:sz w:val="28"/>
          <w:szCs w:val="28"/>
          <w:lang w:val="fr-FR"/>
        </w:rPr>
      </w:pPr>
      <w:bookmarkStart w:id="12" w:name="_Toc37072346"/>
      <w:r>
        <w:rPr>
          <w:rFonts w:eastAsiaTheme="minorHAnsi"/>
          <w:b/>
          <w:bCs/>
          <w:color w:val="FFC000" w:themeColor="accent4"/>
          <w:sz w:val="28"/>
          <w:szCs w:val="28"/>
          <w:lang w:val="fr-FR"/>
        </w:rPr>
        <w:t>Résultat</w:t>
      </w:r>
      <w:r w:rsidR="002C54BD">
        <w:rPr>
          <w:rFonts w:eastAsiaTheme="minorHAnsi"/>
          <w:b/>
          <w:bCs/>
          <w:color w:val="FFC000" w:themeColor="accent4"/>
          <w:sz w:val="28"/>
          <w:szCs w:val="28"/>
          <w:lang w:val="fr-FR"/>
        </w:rPr>
        <w:t> </w:t>
      </w:r>
      <w:r>
        <w:rPr>
          <w:rFonts w:eastAsiaTheme="minorHAnsi"/>
          <w:b/>
          <w:bCs/>
          <w:color w:val="FFC000" w:themeColor="accent4"/>
          <w:sz w:val="28"/>
          <w:szCs w:val="28"/>
          <w:lang w:val="fr-FR"/>
        </w:rPr>
        <w:t>2 : (Suffisamment de ressources et de financement) Des ressources internationales et nationales sont mobilisées pour financer l</w:t>
      </w:r>
      <w:r w:rsidR="002C54BD">
        <w:rPr>
          <w:rFonts w:eastAsiaTheme="minorHAnsi"/>
          <w:b/>
          <w:bCs/>
          <w:color w:val="FFC000" w:themeColor="accent4"/>
          <w:sz w:val="28"/>
          <w:szCs w:val="28"/>
          <w:lang w:val="fr-FR"/>
        </w:rPr>
        <w:t>’</w:t>
      </w:r>
      <w:r>
        <w:rPr>
          <w:rFonts w:eastAsiaTheme="minorHAnsi"/>
          <w:b/>
          <w:bCs/>
          <w:color w:val="FFC000" w:themeColor="accent4"/>
          <w:sz w:val="28"/>
          <w:szCs w:val="28"/>
          <w:lang w:val="fr-FR"/>
        </w:rPr>
        <w:t xml:space="preserve">intégralité des </w:t>
      </w:r>
      <w:r w:rsidR="0029661A">
        <w:rPr>
          <w:rFonts w:eastAsiaTheme="minorHAnsi"/>
          <w:b/>
          <w:bCs/>
          <w:color w:val="FFC000" w:themeColor="accent4"/>
          <w:sz w:val="28"/>
          <w:szCs w:val="28"/>
          <w:lang w:val="fr-FR"/>
        </w:rPr>
        <w:t>plans nationaux de nutrition</w:t>
      </w:r>
      <w:r>
        <w:rPr>
          <w:rFonts w:eastAsiaTheme="minorHAnsi"/>
          <w:b/>
          <w:bCs/>
          <w:color w:val="FFC000" w:themeColor="accent4"/>
          <w:sz w:val="28"/>
          <w:szCs w:val="28"/>
          <w:lang w:val="fr-FR"/>
        </w:rPr>
        <w:t xml:space="preserve"> (PNN)</w:t>
      </w:r>
      <w:bookmarkEnd w:id="12"/>
    </w:p>
    <w:p w14:paraId="1EA2FE13" w14:textId="77777777" w:rsidR="003D1EE0" w:rsidRPr="00BD3D80" w:rsidRDefault="003D1EE0">
      <w:pPr>
        <w:rPr>
          <w:lang w:val="fr-FR"/>
        </w:rPr>
      </w:pPr>
    </w:p>
    <w:bookmarkEnd w:id="9"/>
    <w:tbl>
      <w:tblPr>
        <w:tblStyle w:val="TableGrid"/>
        <w:tblW w:w="9918" w:type="dxa"/>
        <w:tblLook w:val="04A0" w:firstRow="1" w:lastRow="0" w:firstColumn="1" w:lastColumn="0" w:noHBand="0" w:noVBand="1"/>
      </w:tblPr>
      <w:tblGrid>
        <w:gridCol w:w="3964"/>
        <w:gridCol w:w="5954"/>
      </w:tblGrid>
      <w:tr w:rsidR="00CF72FE" w:rsidRPr="00880085" w14:paraId="77ACCAC2" w14:textId="77777777" w:rsidTr="003D1EE0">
        <w:tc>
          <w:tcPr>
            <w:tcW w:w="3964" w:type="dxa"/>
            <w:shd w:val="clear" w:color="auto" w:fill="D9E2F3" w:themeFill="accent1" w:themeFillTint="33"/>
          </w:tcPr>
          <w:p w14:paraId="5B4195AD" w14:textId="5D541994" w:rsidR="00CF72FE" w:rsidRPr="00305E63" w:rsidRDefault="00B16D51">
            <w:pPr>
              <w:rPr>
                <w:b/>
              </w:rPr>
            </w:pPr>
            <w:r>
              <w:rPr>
                <w:lang w:val="fr-FR"/>
              </w:rPr>
              <w:br w:type="page"/>
            </w:r>
            <w:r>
              <w:rPr>
                <w:b/>
                <w:bCs/>
                <w:lang w:val="fr-FR"/>
              </w:rPr>
              <w:t>Résultat</w:t>
            </w:r>
            <w:r w:rsidR="002C54BD">
              <w:rPr>
                <w:b/>
                <w:bCs/>
                <w:lang w:val="fr-FR"/>
              </w:rPr>
              <w:t> </w:t>
            </w:r>
            <w:r>
              <w:rPr>
                <w:b/>
                <w:bCs/>
                <w:lang w:val="fr-FR"/>
              </w:rPr>
              <w:t>2 :</w:t>
            </w:r>
          </w:p>
        </w:tc>
        <w:tc>
          <w:tcPr>
            <w:tcW w:w="5954" w:type="dxa"/>
            <w:shd w:val="clear" w:color="auto" w:fill="D9E2F3" w:themeFill="accent1" w:themeFillTint="33"/>
          </w:tcPr>
          <w:p w14:paraId="7E17F206" w14:textId="55DC6242" w:rsidR="00CF72FE" w:rsidRPr="00BD3D80" w:rsidRDefault="00347DFD">
            <w:pPr>
              <w:rPr>
                <w:b/>
                <w:lang w:val="fr-FR"/>
              </w:rPr>
            </w:pPr>
            <w:r>
              <w:rPr>
                <w:b/>
                <w:bCs/>
                <w:lang w:val="fr-FR"/>
              </w:rPr>
              <w:t>Indicateurs suggérés (lorsque plusieurs choix sont possibles, veuillez n</w:t>
            </w:r>
            <w:r w:rsidR="002C54BD">
              <w:rPr>
                <w:b/>
                <w:bCs/>
                <w:lang w:val="fr-FR"/>
              </w:rPr>
              <w:t>’</w:t>
            </w:r>
            <w:r>
              <w:rPr>
                <w:b/>
                <w:bCs/>
                <w:lang w:val="fr-FR"/>
              </w:rPr>
              <w:t>en sélectionner qu</w:t>
            </w:r>
            <w:r w:rsidR="002C54BD">
              <w:rPr>
                <w:b/>
                <w:bCs/>
                <w:lang w:val="fr-FR"/>
              </w:rPr>
              <w:t>’</w:t>
            </w:r>
            <w:r>
              <w:rPr>
                <w:b/>
                <w:bCs/>
                <w:lang w:val="fr-FR"/>
              </w:rPr>
              <w:t>un seul)</w:t>
            </w:r>
          </w:p>
        </w:tc>
      </w:tr>
      <w:tr w:rsidR="00CF72FE" w:rsidRPr="00880085" w14:paraId="46A92E12" w14:textId="77777777" w:rsidTr="00914132">
        <w:trPr>
          <w:trHeight w:val="928"/>
        </w:trPr>
        <w:tc>
          <w:tcPr>
            <w:tcW w:w="3964" w:type="dxa"/>
          </w:tcPr>
          <w:p w14:paraId="3AEB7AF9" w14:textId="12E7B02C" w:rsidR="00CF72FE" w:rsidRPr="00BD3D80" w:rsidRDefault="00EB67D8">
            <w:pPr>
              <w:rPr>
                <w:lang w:val="fr-FR"/>
              </w:rPr>
            </w:pPr>
            <w:r>
              <w:rPr>
                <w:color w:val="000000"/>
                <w:sz w:val="20"/>
                <w:szCs w:val="20"/>
                <w:lang w:val="fr-FR"/>
              </w:rPr>
              <w:t>Des ressources internationales et nationales sont mobilisées pour financer l</w:t>
            </w:r>
            <w:r w:rsidR="002C54BD">
              <w:rPr>
                <w:color w:val="000000"/>
                <w:sz w:val="20"/>
                <w:szCs w:val="20"/>
                <w:lang w:val="fr-FR"/>
              </w:rPr>
              <w:t>’</w:t>
            </w:r>
            <w:r>
              <w:rPr>
                <w:color w:val="000000"/>
                <w:sz w:val="20"/>
                <w:szCs w:val="20"/>
                <w:lang w:val="fr-FR"/>
              </w:rPr>
              <w:t xml:space="preserve">intégralité des </w:t>
            </w:r>
            <w:r w:rsidR="0029661A">
              <w:rPr>
                <w:color w:val="000000"/>
                <w:sz w:val="20"/>
                <w:szCs w:val="20"/>
                <w:lang w:val="fr-FR"/>
              </w:rPr>
              <w:t>plans nationaux de nutrition</w:t>
            </w:r>
            <w:r>
              <w:rPr>
                <w:color w:val="000000"/>
                <w:sz w:val="20"/>
                <w:szCs w:val="20"/>
                <w:lang w:val="fr-FR"/>
              </w:rPr>
              <w:t xml:space="preserve"> (PNN)</w:t>
            </w:r>
            <w:r w:rsidR="00C844EC">
              <w:rPr>
                <w:color w:val="000000"/>
                <w:sz w:val="20"/>
                <w:szCs w:val="20"/>
                <w:lang w:val="fr-FR"/>
              </w:rPr>
              <w:t xml:space="preserve"> </w:t>
            </w:r>
            <w:r>
              <w:rPr>
                <w:color w:val="ED7D31" w:themeColor="accent2"/>
                <w:sz w:val="20"/>
                <w:szCs w:val="20"/>
                <w:lang w:val="fr-FR"/>
              </w:rPr>
              <w:t>(fonds</w:t>
            </w:r>
            <w:r w:rsidR="00C26CAB">
              <w:rPr>
                <w:color w:val="ED7D31" w:themeColor="accent2"/>
                <w:sz w:val="20"/>
                <w:szCs w:val="20"/>
                <w:lang w:val="fr-FR"/>
              </w:rPr>
              <w:t xml:space="preserve"> </w:t>
            </w:r>
            <w:r>
              <w:rPr>
                <w:color w:val="ED7D31" w:themeColor="accent2"/>
                <w:sz w:val="20"/>
                <w:szCs w:val="20"/>
                <w:lang w:val="fr-FR"/>
              </w:rPr>
              <w:t>commun)</w:t>
            </w:r>
          </w:p>
        </w:tc>
        <w:tc>
          <w:tcPr>
            <w:tcW w:w="5954" w:type="dxa"/>
          </w:tcPr>
          <w:p w14:paraId="76D97E17" w14:textId="76B7F439" w:rsidR="00CF72FE" w:rsidRPr="00BD3D80" w:rsidRDefault="00C844EC" w:rsidP="00354CE4">
            <w:pPr>
              <w:pStyle w:val="ListParagraph"/>
              <w:numPr>
                <w:ilvl w:val="0"/>
                <w:numId w:val="18"/>
              </w:numPr>
              <w:spacing w:beforeLines="60" w:before="144" w:afterLines="60" w:after="144"/>
              <w:rPr>
                <w:rFonts w:eastAsia="Times New Roman" w:cstheme="majorHAnsi"/>
                <w:sz w:val="20"/>
                <w:szCs w:val="20"/>
                <w:lang w:val="fr-FR"/>
              </w:rPr>
            </w:pPr>
            <w:r w:rsidRPr="00C844EC">
              <w:rPr>
                <w:sz w:val="20"/>
                <w:szCs w:val="20"/>
                <w:u w:val="single"/>
                <w:lang w:val="fr-FR"/>
              </w:rPr>
              <w:t>N</w:t>
            </w:r>
            <w:r w:rsidR="00F245C5" w:rsidRPr="00C844EC">
              <w:rPr>
                <w:sz w:val="20"/>
                <w:szCs w:val="20"/>
                <w:u w:val="single"/>
                <w:lang w:val="fr-FR"/>
              </w:rPr>
              <w:t>iveau national</w:t>
            </w:r>
            <w:r w:rsidR="002C54BD">
              <w:rPr>
                <w:sz w:val="20"/>
                <w:szCs w:val="20"/>
                <w:lang w:val="fr-FR"/>
              </w:rPr>
              <w:t> </w:t>
            </w:r>
            <w:r w:rsidR="00F245C5">
              <w:rPr>
                <w:sz w:val="20"/>
                <w:szCs w:val="20"/>
                <w:lang w:val="fr-FR"/>
              </w:rPr>
              <w:t>: existence d</w:t>
            </w:r>
            <w:r w:rsidR="002C54BD">
              <w:rPr>
                <w:sz w:val="20"/>
                <w:szCs w:val="20"/>
                <w:lang w:val="fr-FR"/>
              </w:rPr>
              <w:t>’</w:t>
            </w:r>
            <w:r w:rsidR="00F245C5">
              <w:rPr>
                <w:sz w:val="20"/>
                <w:szCs w:val="20"/>
                <w:lang w:val="fr-FR"/>
              </w:rPr>
              <w:t>un PNN chiffré qui comble le déficit de financement mis en évidence par le travail des ASC et d</w:t>
            </w:r>
            <w:r w:rsidR="002C54BD">
              <w:rPr>
                <w:sz w:val="20"/>
                <w:szCs w:val="20"/>
                <w:lang w:val="fr-FR"/>
              </w:rPr>
              <w:t>’</w:t>
            </w:r>
            <w:r w:rsidR="00F245C5">
              <w:rPr>
                <w:sz w:val="20"/>
                <w:szCs w:val="20"/>
                <w:lang w:val="fr-FR"/>
              </w:rPr>
              <w:t xml:space="preserve">autres parties prenantes </w:t>
            </w:r>
            <w:r w:rsidR="00F245C5">
              <w:rPr>
                <w:color w:val="ED7D31" w:themeColor="accent2"/>
                <w:sz w:val="20"/>
                <w:szCs w:val="20"/>
                <w:lang w:val="fr-FR"/>
              </w:rPr>
              <w:t>(</w:t>
            </w:r>
            <w:r w:rsidR="00BB74DB">
              <w:rPr>
                <w:color w:val="ED7D31" w:themeColor="accent2"/>
                <w:sz w:val="20"/>
                <w:szCs w:val="20"/>
                <w:lang w:val="fr-FR"/>
              </w:rPr>
              <w:t>fonds communs</w:t>
            </w:r>
            <w:r w:rsidR="00F245C5">
              <w:rPr>
                <w:color w:val="ED7D31" w:themeColor="accent2"/>
                <w:sz w:val="20"/>
                <w:szCs w:val="20"/>
                <w:lang w:val="fr-FR"/>
              </w:rPr>
              <w:t>)</w:t>
            </w:r>
          </w:p>
          <w:p w14:paraId="45586B0D" w14:textId="3308A63A" w:rsidR="00C12F02" w:rsidRPr="00BD3D80" w:rsidRDefault="00F245C5" w:rsidP="008656AD">
            <w:pPr>
              <w:pStyle w:val="ListParagraph"/>
              <w:numPr>
                <w:ilvl w:val="0"/>
                <w:numId w:val="18"/>
              </w:numPr>
              <w:rPr>
                <w:rFonts w:eastAsia="Times New Roman" w:cstheme="majorHAnsi"/>
                <w:sz w:val="20"/>
                <w:szCs w:val="20"/>
                <w:lang w:val="fr-FR"/>
              </w:rPr>
            </w:pPr>
            <w:r>
              <w:rPr>
                <w:rFonts w:eastAsia="Times New Roman" w:cstheme="majorHAnsi"/>
                <w:sz w:val="20"/>
                <w:szCs w:val="20"/>
                <w:u w:val="single"/>
                <w:lang w:val="fr-FR"/>
              </w:rPr>
              <w:t>Niveau national :</w:t>
            </w:r>
            <w:r>
              <w:rPr>
                <w:rFonts w:eastAsia="Times New Roman" w:cstheme="majorHAnsi"/>
                <w:sz w:val="20"/>
                <w:szCs w:val="20"/>
                <w:lang w:val="fr-FR"/>
              </w:rPr>
              <w:t xml:space="preserve"> </w:t>
            </w:r>
            <w:r w:rsidR="000C0FCB">
              <w:rPr>
                <w:rFonts w:eastAsia="Times New Roman" w:cstheme="majorHAnsi"/>
                <w:sz w:val="20"/>
                <w:szCs w:val="20"/>
                <w:lang w:val="fr-FR"/>
              </w:rPr>
              <w:t>e</w:t>
            </w:r>
            <w:r>
              <w:rPr>
                <w:rFonts w:eastAsia="Times New Roman" w:cstheme="majorHAnsi"/>
                <w:sz w:val="20"/>
                <w:szCs w:val="20"/>
                <w:lang w:val="fr-FR"/>
              </w:rPr>
              <w:t>xistence d</w:t>
            </w:r>
            <w:r w:rsidR="002C54BD">
              <w:rPr>
                <w:rFonts w:eastAsia="Times New Roman" w:cstheme="majorHAnsi"/>
                <w:sz w:val="20"/>
                <w:szCs w:val="20"/>
                <w:lang w:val="fr-FR"/>
              </w:rPr>
              <w:t>’</w:t>
            </w:r>
            <w:r>
              <w:rPr>
                <w:rFonts w:eastAsia="Times New Roman" w:cstheme="majorHAnsi"/>
                <w:sz w:val="20"/>
                <w:szCs w:val="20"/>
                <w:lang w:val="fr-FR"/>
              </w:rPr>
              <w:t>un PNN qui montre une réduction du déficit de financement par rapport au plan/financement précédent</w:t>
            </w:r>
          </w:p>
          <w:p w14:paraId="6F6B1F62" w14:textId="46A62962" w:rsidR="00DA6AC4" w:rsidRPr="00BD3D80" w:rsidRDefault="00F245C5" w:rsidP="008656AD">
            <w:pPr>
              <w:pStyle w:val="ListParagraph"/>
              <w:numPr>
                <w:ilvl w:val="0"/>
                <w:numId w:val="18"/>
              </w:numPr>
              <w:rPr>
                <w:rFonts w:eastAsia="Times New Roman" w:cstheme="majorHAnsi"/>
                <w:sz w:val="20"/>
                <w:szCs w:val="20"/>
                <w:lang w:val="fr-FR"/>
              </w:rPr>
            </w:pPr>
            <w:r>
              <w:rPr>
                <w:sz w:val="20"/>
                <w:szCs w:val="20"/>
                <w:u w:val="single"/>
                <w:lang w:val="fr-FR"/>
              </w:rPr>
              <w:t>Niveau mondial</w:t>
            </w:r>
            <w:r>
              <w:rPr>
                <w:sz w:val="20"/>
                <w:szCs w:val="20"/>
                <w:lang w:val="fr-FR"/>
              </w:rPr>
              <w:t xml:space="preserve"> : </w:t>
            </w:r>
            <w:r w:rsidR="000C0FCB">
              <w:rPr>
                <w:sz w:val="20"/>
                <w:szCs w:val="20"/>
                <w:lang w:val="fr-FR"/>
              </w:rPr>
              <w:t xml:space="preserve">pourcentage </w:t>
            </w:r>
            <w:r>
              <w:rPr>
                <w:sz w:val="20"/>
                <w:szCs w:val="20"/>
                <w:lang w:val="fr-FR"/>
              </w:rPr>
              <w:t xml:space="preserve">du PNN chiffré qui montre une réduction du déficit de financement par rapport au plan précédent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756C83F0" w14:textId="490141BA" w:rsidR="00C844EC" w:rsidRPr="00C844EC" w:rsidRDefault="008F6F6E" w:rsidP="00C12F02">
            <w:pPr>
              <w:pStyle w:val="ListParagraph"/>
              <w:numPr>
                <w:ilvl w:val="0"/>
                <w:numId w:val="18"/>
              </w:numPr>
              <w:rPr>
                <w:rFonts w:eastAsia="Times New Roman" w:cstheme="majorHAnsi"/>
                <w:sz w:val="20"/>
                <w:szCs w:val="20"/>
                <w:lang w:val="fr-FR"/>
              </w:rPr>
            </w:pPr>
            <w:r>
              <w:rPr>
                <w:sz w:val="20"/>
                <w:szCs w:val="20"/>
                <w:lang w:val="fr-FR"/>
              </w:rPr>
              <w:t xml:space="preserve">Nombre de </w:t>
            </w:r>
            <w:r w:rsidR="0029661A">
              <w:rPr>
                <w:sz w:val="20"/>
                <w:szCs w:val="20"/>
                <w:lang w:val="fr-FR"/>
              </w:rPr>
              <w:t xml:space="preserve">plans </w:t>
            </w:r>
            <w:r w:rsidR="00CD2763">
              <w:rPr>
                <w:sz w:val="20"/>
                <w:szCs w:val="20"/>
                <w:lang w:val="fr-FR"/>
              </w:rPr>
              <w:t xml:space="preserve">infranationaux </w:t>
            </w:r>
            <w:r w:rsidR="0029661A">
              <w:rPr>
                <w:sz w:val="20"/>
                <w:szCs w:val="20"/>
                <w:lang w:val="fr-FR"/>
              </w:rPr>
              <w:t>de nutrition</w:t>
            </w:r>
            <w:r>
              <w:rPr>
                <w:sz w:val="20"/>
                <w:szCs w:val="20"/>
                <w:lang w:val="fr-FR"/>
              </w:rPr>
              <w:t xml:space="preserve"> chiffrés qui répondent au déficit de financement</w:t>
            </w:r>
            <w:r>
              <w:rPr>
                <w:color w:val="ED7D31" w:themeColor="accent2"/>
                <w:sz w:val="20"/>
                <w:szCs w:val="20"/>
                <w:lang w:val="fr-FR"/>
              </w:rPr>
              <w:t xml:space="preserve"> (</w:t>
            </w:r>
            <w:r w:rsidR="00BB74DB">
              <w:rPr>
                <w:color w:val="ED7D31" w:themeColor="accent2"/>
                <w:sz w:val="20"/>
                <w:szCs w:val="20"/>
                <w:lang w:val="fr-FR"/>
              </w:rPr>
              <w:t>fonds communs</w:t>
            </w:r>
            <w:r>
              <w:rPr>
                <w:color w:val="ED7D31" w:themeColor="accent2"/>
                <w:sz w:val="20"/>
                <w:szCs w:val="20"/>
                <w:lang w:val="fr-FR"/>
              </w:rPr>
              <w:t>)</w:t>
            </w:r>
          </w:p>
          <w:p w14:paraId="024E7739" w14:textId="36E4B379" w:rsidR="00C12F02" w:rsidRPr="00BD3D80" w:rsidRDefault="008F6F6E" w:rsidP="00C12F02">
            <w:pPr>
              <w:pStyle w:val="ListParagraph"/>
              <w:numPr>
                <w:ilvl w:val="0"/>
                <w:numId w:val="18"/>
              </w:numPr>
              <w:rPr>
                <w:rFonts w:eastAsia="Times New Roman" w:cstheme="majorHAnsi"/>
                <w:sz w:val="20"/>
                <w:szCs w:val="20"/>
                <w:lang w:val="fr-FR"/>
              </w:rPr>
            </w:pPr>
            <w:r>
              <w:rPr>
                <w:sz w:val="20"/>
                <w:szCs w:val="20"/>
                <w:lang w:val="fr-FR"/>
              </w:rPr>
              <w:t xml:space="preserve">Nombre de </w:t>
            </w:r>
            <w:r w:rsidR="0029661A">
              <w:rPr>
                <w:sz w:val="20"/>
                <w:szCs w:val="20"/>
                <w:lang w:val="fr-FR"/>
              </w:rPr>
              <w:t xml:space="preserve">plans </w:t>
            </w:r>
            <w:r w:rsidR="00CD2763">
              <w:rPr>
                <w:sz w:val="20"/>
                <w:szCs w:val="20"/>
                <w:lang w:val="fr-FR"/>
              </w:rPr>
              <w:t xml:space="preserve">infranationaux </w:t>
            </w:r>
            <w:r w:rsidR="0029661A">
              <w:rPr>
                <w:sz w:val="20"/>
                <w:szCs w:val="20"/>
                <w:lang w:val="fr-FR"/>
              </w:rPr>
              <w:t>de nutrition</w:t>
            </w:r>
            <w:r w:rsidR="00C844EC">
              <w:rPr>
                <w:sz w:val="20"/>
                <w:szCs w:val="20"/>
                <w:lang w:val="fr-FR"/>
              </w:rPr>
              <w:t xml:space="preserve"> </w:t>
            </w:r>
            <w:r>
              <w:rPr>
                <w:sz w:val="20"/>
                <w:szCs w:val="20"/>
                <w:lang w:val="fr-FR"/>
              </w:rPr>
              <w:t xml:space="preserve">chiffrés en place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695564F1" w14:textId="72307BD1" w:rsidR="00A6505F" w:rsidRPr="00BD3D80" w:rsidRDefault="00C26CAB" w:rsidP="00997566">
            <w:pPr>
              <w:pStyle w:val="ListParagraph"/>
              <w:numPr>
                <w:ilvl w:val="0"/>
                <w:numId w:val="18"/>
              </w:numPr>
              <w:rPr>
                <w:lang w:val="fr-FR"/>
              </w:rPr>
            </w:pPr>
            <w:r>
              <w:rPr>
                <w:rFonts w:eastAsia="Times New Roman" w:cstheme="majorHAnsi"/>
                <w:sz w:val="20"/>
                <w:szCs w:val="20"/>
                <w:lang w:val="fr-FR"/>
              </w:rPr>
              <w:t xml:space="preserve">Pourcentage </w:t>
            </w:r>
            <w:r w:rsidR="00DA6AC4">
              <w:rPr>
                <w:rFonts w:eastAsia="Times New Roman" w:cstheme="majorHAnsi"/>
                <w:sz w:val="20"/>
                <w:szCs w:val="20"/>
                <w:lang w:val="fr-FR"/>
              </w:rPr>
              <w:t>d</w:t>
            </w:r>
            <w:r w:rsidR="002C54BD">
              <w:rPr>
                <w:rFonts w:eastAsia="Times New Roman" w:cstheme="majorHAnsi"/>
                <w:sz w:val="20"/>
                <w:szCs w:val="20"/>
                <w:lang w:val="fr-FR"/>
              </w:rPr>
              <w:t>’</w:t>
            </w:r>
            <w:r w:rsidR="00DA6AC4">
              <w:rPr>
                <w:rFonts w:eastAsia="Times New Roman" w:cstheme="majorHAnsi"/>
                <w:sz w:val="20"/>
                <w:szCs w:val="20"/>
                <w:lang w:val="fr-FR"/>
              </w:rPr>
              <w:t xml:space="preserve">augmentation des dépenses </w:t>
            </w:r>
            <w:r w:rsidR="00C844EC">
              <w:rPr>
                <w:rFonts w:eastAsia="Times New Roman" w:cstheme="majorHAnsi"/>
                <w:sz w:val="20"/>
                <w:szCs w:val="20"/>
                <w:lang w:val="fr-FR"/>
              </w:rPr>
              <w:t xml:space="preserve">du gouvernement </w:t>
            </w:r>
            <w:r w:rsidR="00DA6AC4">
              <w:rPr>
                <w:rFonts w:eastAsia="Times New Roman" w:cstheme="majorHAnsi"/>
                <w:sz w:val="20"/>
                <w:szCs w:val="20"/>
                <w:lang w:val="fr-FR"/>
              </w:rPr>
              <w:t xml:space="preserve">en faveur de la nutrition au niveau national (par rapport </w:t>
            </w:r>
            <w:r w:rsidR="00C844EC">
              <w:rPr>
                <w:rFonts w:eastAsia="Times New Roman" w:cstheme="majorHAnsi"/>
                <w:sz w:val="20"/>
                <w:szCs w:val="20"/>
                <w:lang w:val="fr-FR"/>
              </w:rPr>
              <w:t>aux</w:t>
            </w:r>
            <w:r w:rsidR="00DA6AC4">
              <w:rPr>
                <w:rFonts w:eastAsia="Times New Roman" w:cstheme="majorHAnsi"/>
                <w:sz w:val="20"/>
                <w:szCs w:val="20"/>
                <w:lang w:val="fr-FR"/>
              </w:rPr>
              <w:t xml:space="preserve"> dépenses précédent</w:t>
            </w:r>
            <w:r w:rsidR="00C844EC">
              <w:rPr>
                <w:rFonts w:eastAsia="Times New Roman" w:cstheme="majorHAnsi"/>
                <w:sz w:val="20"/>
                <w:szCs w:val="20"/>
                <w:lang w:val="fr-FR"/>
              </w:rPr>
              <w:t>es</w:t>
            </w:r>
            <w:r w:rsidR="00DA6AC4">
              <w:rPr>
                <w:rFonts w:eastAsia="Times New Roman" w:cstheme="majorHAnsi"/>
                <w:sz w:val="20"/>
                <w:szCs w:val="20"/>
                <w:lang w:val="fr-FR"/>
              </w:rPr>
              <w:t>/par personne/ventilé</w:t>
            </w:r>
            <w:r w:rsidR="00C844EC">
              <w:rPr>
                <w:rFonts w:eastAsia="Times New Roman" w:cstheme="majorHAnsi"/>
                <w:sz w:val="20"/>
                <w:szCs w:val="20"/>
                <w:lang w:val="fr-FR"/>
              </w:rPr>
              <w:t>es</w:t>
            </w:r>
            <w:r w:rsidR="00DA6AC4">
              <w:rPr>
                <w:rFonts w:eastAsia="Times New Roman" w:cstheme="majorHAnsi"/>
                <w:sz w:val="20"/>
                <w:szCs w:val="20"/>
                <w:lang w:val="fr-FR"/>
              </w:rPr>
              <w:t xml:space="preserve"> par sexe si possible)</w:t>
            </w:r>
          </w:p>
          <w:p w14:paraId="416D1553" w14:textId="41B95477" w:rsidR="00C12F02" w:rsidRPr="00BD3D80" w:rsidRDefault="00C26CAB" w:rsidP="00997566">
            <w:pPr>
              <w:pStyle w:val="ListParagraph"/>
              <w:numPr>
                <w:ilvl w:val="0"/>
                <w:numId w:val="18"/>
              </w:numPr>
              <w:rPr>
                <w:lang w:val="fr-FR"/>
              </w:rPr>
            </w:pPr>
            <w:r>
              <w:rPr>
                <w:rFonts w:eastAsia="Times New Roman" w:cstheme="majorHAnsi"/>
                <w:sz w:val="20"/>
                <w:szCs w:val="20"/>
                <w:lang w:val="fr-FR"/>
              </w:rPr>
              <w:t xml:space="preserve">Pourcentage </w:t>
            </w:r>
            <w:r w:rsidR="00C12F02">
              <w:rPr>
                <w:rFonts w:eastAsia="Times New Roman" w:cstheme="majorHAnsi"/>
                <w:sz w:val="20"/>
                <w:szCs w:val="20"/>
                <w:lang w:val="fr-FR"/>
              </w:rPr>
              <w:t>d</w:t>
            </w:r>
            <w:r w:rsidR="002C54BD">
              <w:rPr>
                <w:rFonts w:eastAsia="Times New Roman" w:cstheme="majorHAnsi"/>
                <w:sz w:val="20"/>
                <w:szCs w:val="20"/>
                <w:lang w:val="fr-FR"/>
              </w:rPr>
              <w:t>’</w:t>
            </w:r>
            <w:r w:rsidR="00C12F02">
              <w:rPr>
                <w:rFonts w:eastAsia="Times New Roman" w:cstheme="majorHAnsi"/>
                <w:sz w:val="20"/>
                <w:szCs w:val="20"/>
                <w:lang w:val="fr-FR"/>
              </w:rPr>
              <w:t xml:space="preserve">augmentation des dépenses </w:t>
            </w:r>
            <w:r w:rsidR="00C844EC">
              <w:rPr>
                <w:rFonts w:eastAsia="Times New Roman" w:cstheme="majorHAnsi"/>
                <w:sz w:val="20"/>
                <w:szCs w:val="20"/>
                <w:lang w:val="fr-FR"/>
              </w:rPr>
              <w:t xml:space="preserve">du gouvernement </w:t>
            </w:r>
            <w:r w:rsidR="00C12F02">
              <w:rPr>
                <w:rFonts w:eastAsia="Times New Roman" w:cstheme="majorHAnsi"/>
                <w:sz w:val="20"/>
                <w:szCs w:val="20"/>
                <w:lang w:val="fr-FR"/>
              </w:rPr>
              <w:t>en faveur de la nutrition au niveau infra</w:t>
            </w:r>
            <w:r w:rsidR="00C844EC">
              <w:rPr>
                <w:rFonts w:eastAsia="Times New Roman" w:cstheme="majorHAnsi"/>
                <w:sz w:val="20"/>
                <w:szCs w:val="20"/>
                <w:lang w:val="fr-FR"/>
              </w:rPr>
              <w:t>na</w:t>
            </w:r>
            <w:r w:rsidR="00C12F02">
              <w:rPr>
                <w:rFonts w:eastAsia="Times New Roman" w:cstheme="majorHAnsi"/>
                <w:sz w:val="20"/>
                <w:szCs w:val="20"/>
                <w:lang w:val="fr-FR"/>
              </w:rPr>
              <w:t xml:space="preserve">tional (par rapport </w:t>
            </w:r>
            <w:r w:rsidR="00C844EC">
              <w:rPr>
                <w:rFonts w:eastAsia="Times New Roman" w:cstheme="majorHAnsi"/>
                <w:sz w:val="20"/>
                <w:szCs w:val="20"/>
                <w:lang w:val="fr-FR"/>
              </w:rPr>
              <w:t xml:space="preserve">aux </w:t>
            </w:r>
            <w:r w:rsidR="00C12F02">
              <w:rPr>
                <w:rFonts w:eastAsia="Times New Roman" w:cstheme="majorHAnsi"/>
                <w:sz w:val="20"/>
                <w:szCs w:val="20"/>
                <w:lang w:val="fr-FR"/>
              </w:rPr>
              <w:t>dépenses précédent</w:t>
            </w:r>
            <w:r w:rsidR="00C844EC">
              <w:rPr>
                <w:rFonts w:eastAsia="Times New Roman" w:cstheme="majorHAnsi"/>
                <w:sz w:val="20"/>
                <w:szCs w:val="20"/>
                <w:lang w:val="fr-FR"/>
              </w:rPr>
              <w:t>es</w:t>
            </w:r>
            <w:r w:rsidR="00C12F02">
              <w:rPr>
                <w:rFonts w:eastAsia="Times New Roman" w:cstheme="majorHAnsi"/>
                <w:sz w:val="20"/>
                <w:szCs w:val="20"/>
                <w:lang w:val="fr-FR"/>
              </w:rPr>
              <w:t>/par personne/ventilé</w:t>
            </w:r>
            <w:r w:rsidR="00C844EC">
              <w:rPr>
                <w:rFonts w:eastAsia="Times New Roman" w:cstheme="majorHAnsi"/>
                <w:sz w:val="20"/>
                <w:szCs w:val="20"/>
                <w:lang w:val="fr-FR"/>
              </w:rPr>
              <w:t>es</w:t>
            </w:r>
            <w:r w:rsidR="00C12F02">
              <w:rPr>
                <w:rFonts w:eastAsia="Times New Roman" w:cstheme="majorHAnsi"/>
                <w:sz w:val="20"/>
                <w:szCs w:val="20"/>
                <w:lang w:val="fr-FR"/>
              </w:rPr>
              <w:t xml:space="preserve"> par sexe si possible)</w:t>
            </w:r>
          </w:p>
          <w:p w14:paraId="10C73E2E" w14:textId="2F3F7FC6" w:rsidR="00C12F02" w:rsidRPr="00BD3D80" w:rsidRDefault="00C12F02" w:rsidP="00B53EAE">
            <w:pPr>
              <w:ind w:left="360"/>
              <w:rPr>
                <w:lang w:val="fr-FR"/>
              </w:rPr>
            </w:pPr>
          </w:p>
        </w:tc>
      </w:tr>
      <w:tr w:rsidR="00CF72FE" w14:paraId="33D2BD86" w14:textId="77777777" w:rsidTr="003D1EE0">
        <w:trPr>
          <w:trHeight w:val="70"/>
        </w:trPr>
        <w:tc>
          <w:tcPr>
            <w:tcW w:w="3964" w:type="dxa"/>
          </w:tcPr>
          <w:p w14:paraId="63594DB1" w14:textId="31FC0E99" w:rsidR="00CF72FE" w:rsidRPr="0095439E" w:rsidRDefault="00CF72FE">
            <w:pPr>
              <w:rPr>
                <w:rFonts w:eastAsia="Times New Roman" w:cstheme="majorHAnsi"/>
                <w:b/>
                <w:bCs/>
                <w:color w:val="000000"/>
                <w:sz w:val="20"/>
                <w:szCs w:val="20"/>
              </w:rPr>
            </w:pPr>
            <w:r>
              <w:rPr>
                <w:rFonts w:eastAsia="Times New Roman" w:cstheme="majorHAnsi"/>
                <w:b/>
                <w:bCs/>
                <w:color w:val="000000"/>
                <w:sz w:val="20"/>
                <w:szCs w:val="20"/>
                <w:lang w:val="fr-FR"/>
              </w:rPr>
              <w:t>Résultat intermédiaire</w:t>
            </w:r>
            <w:r w:rsidR="002C54BD">
              <w:rPr>
                <w:rFonts w:eastAsia="Times New Roman" w:cstheme="majorHAnsi"/>
                <w:b/>
                <w:bCs/>
                <w:color w:val="000000"/>
                <w:sz w:val="20"/>
                <w:szCs w:val="20"/>
                <w:lang w:val="fr-FR"/>
              </w:rPr>
              <w:t> </w:t>
            </w:r>
            <w:r>
              <w:rPr>
                <w:rFonts w:eastAsia="Times New Roman" w:cstheme="majorHAnsi"/>
                <w:b/>
                <w:bCs/>
                <w:color w:val="000000"/>
                <w:sz w:val="20"/>
                <w:szCs w:val="20"/>
                <w:lang w:val="fr-FR"/>
              </w:rPr>
              <w:t>2</w:t>
            </w:r>
          </w:p>
        </w:tc>
        <w:tc>
          <w:tcPr>
            <w:tcW w:w="5954" w:type="dxa"/>
          </w:tcPr>
          <w:p w14:paraId="74066161" w14:textId="77777777" w:rsidR="00CF72FE" w:rsidRPr="00354CE4" w:rsidRDefault="00CF72FE" w:rsidP="00354CE4">
            <w:pPr>
              <w:spacing w:beforeLines="60" w:before="144" w:afterLines="60" w:after="144"/>
            </w:pPr>
          </w:p>
        </w:tc>
      </w:tr>
      <w:tr w:rsidR="00CF72FE" w:rsidRPr="00880085" w14:paraId="0B7D8DC1" w14:textId="77777777" w:rsidTr="003D1EE0">
        <w:tc>
          <w:tcPr>
            <w:tcW w:w="3964" w:type="dxa"/>
          </w:tcPr>
          <w:p w14:paraId="36BD9E1D" w14:textId="7EC604E4" w:rsidR="00CF72FE" w:rsidRPr="00BD3D80" w:rsidRDefault="00CF72FE">
            <w:pPr>
              <w:rPr>
                <w:lang w:val="fr-FR"/>
              </w:rPr>
            </w:pPr>
            <w:r>
              <w:rPr>
                <w:rFonts w:eastAsia="Times New Roman" w:cstheme="majorHAnsi"/>
                <w:color w:val="000000"/>
                <w:sz w:val="20"/>
                <w:szCs w:val="20"/>
                <w:lang w:val="fr-FR"/>
              </w:rPr>
              <w:t xml:space="preserve">2.1) Les budgets nationaux contiennent des postes budgétaires sensibles à la nutrition et spécifiquement axés sur la nutrition au niveau national et infranational, afin de financer les politiques et plans </w:t>
            </w:r>
            <w:r w:rsidR="00F11FAE">
              <w:rPr>
                <w:rFonts w:eastAsia="Times New Roman" w:cstheme="majorHAnsi"/>
                <w:color w:val="000000"/>
                <w:sz w:val="20"/>
                <w:szCs w:val="20"/>
                <w:lang w:val="fr-FR"/>
              </w:rPr>
              <w:t>nationaux</w:t>
            </w:r>
            <w:r>
              <w:rPr>
                <w:rFonts w:eastAsia="Times New Roman" w:cstheme="majorHAnsi"/>
                <w:color w:val="000000"/>
                <w:sz w:val="20"/>
                <w:szCs w:val="20"/>
                <w:lang w:val="fr-FR"/>
              </w:rPr>
              <w:t xml:space="preserve"> et de combler les déficits financiers</w:t>
            </w:r>
          </w:p>
        </w:tc>
        <w:tc>
          <w:tcPr>
            <w:tcW w:w="5954" w:type="dxa"/>
          </w:tcPr>
          <w:p w14:paraId="00D35C07" w14:textId="3D7D9166" w:rsidR="00AE06A6" w:rsidRPr="00BD3D80" w:rsidRDefault="00B97680" w:rsidP="00CE0FBA">
            <w:pPr>
              <w:pStyle w:val="ListParagraph"/>
              <w:numPr>
                <w:ilvl w:val="0"/>
                <w:numId w:val="18"/>
              </w:numPr>
              <w:rPr>
                <w:rFonts w:eastAsia="Times New Roman" w:cstheme="majorHAnsi"/>
                <w:sz w:val="20"/>
                <w:szCs w:val="20"/>
                <w:lang w:val="fr-FR"/>
              </w:rPr>
            </w:pPr>
            <w:bookmarkStart w:id="13" w:name="_Hlk504984411"/>
            <w:r>
              <w:rPr>
                <w:rFonts w:eastAsia="Times New Roman" w:cstheme="majorHAnsi"/>
                <w:sz w:val="20"/>
                <w:szCs w:val="20"/>
                <w:lang w:val="fr-FR"/>
              </w:rPr>
              <w:t xml:space="preserve">Nombre de budgets qui comprennent des lignes budgétaires </w:t>
            </w:r>
            <w:r w:rsidR="00E71446">
              <w:rPr>
                <w:rFonts w:eastAsia="Times New Roman" w:cstheme="majorHAnsi"/>
                <w:color w:val="000000"/>
                <w:sz w:val="20"/>
                <w:szCs w:val="20"/>
                <w:lang w:val="fr-FR"/>
              </w:rPr>
              <w:t>sensibles à la nutrition et spécifiquement axé</w:t>
            </w:r>
            <w:r w:rsidR="00C26CAB">
              <w:rPr>
                <w:rFonts w:eastAsia="Times New Roman" w:cstheme="majorHAnsi"/>
                <w:color w:val="000000"/>
                <w:sz w:val="20"/>
                <w:szCs w:val="20"/>
                <w:lang w:val="fr-FR"/>
              </w:rPr>
              <w:t>e</w:t>
            </w:r>
            <w:r w:rsidR="00E71446">
              <w:rPr>
                <w:rFonts w:eastAsia="Times New Roman" w:cstheme="majorHAnsi"/>
                <w:color w:val="000000"/>
                <w:sz w:val="20"/>
                <w:szCs w:val="20"/>
                <w:lang w:val="fr-FR"/>
              </w:rPr>
              <w:t>s sur la nutrition</w:t>
            </w:r>
            <w:r>
              <w:rPr>
                <w:rFonts w:eastAsia="Times New Roman" w:cstheme="majorHAnsi"/>
                <w:sz w:val="20"/>
                <w:szCs w:val="20"/>
                <w:lang w:val="fr-FR"/>
              </w:rPr>
              <w:t>, conformément aux recommandations des ASC au niveau national ou infranational</w:t>
            </w:r>
          </w:p>
          <w:p w14:paraId="471BAB0B" w14:textId="1D822208" w:rsidR="00916CA5" w:rsidRPr="00BD3D80" w:rsidRDefault="00AE06A6" w:rsidP="00CE0FBA">
            <w:pPr>
              <w:pStyle w:val="ListParagraph"/>
              <w:numPr>
                <w:ilvl w:val="0"/>
                <w:numId w:val="18"/>
              </w:numPr>
              <w:rPr>
                <w:rFonts w:eastAsia="Times New Roman" w:cstheme="majorHAnsi"/>
                <w:sz w:val="20"/>
                <w:szCs w:val="20"/>
                <w:lang w:val="fr-FR"/>
              </w:rPr>
            </w:pPr>
            <w:r>
              <w:rPr>
                <w:rFonts w:eastAsia="Times New Roman" w:cstheme="majorHAnsi"/>
                <w:sz w:val="20"/>
                <w:szCs w:val="20"/>
                <w:lang w:val="fr-FR"/>
              </w:rPr>
              <w:t>Pourcentage d</w:t>
            </w:r>
            <w:r w:rsidR="002C54BD">
              <w:rPr>
                <w:rFonts w:eastAsia="Times New Roman" w:cstheme="majorHAnsi"/>
                <w:sz w:val="20"/>
                <w:szCs w:val="20"/>
                <w:lang w:val="fr-FR"/>
              </w:rPr>
              <w:t>’</w:t>
            </w:r>
            <w:r>
              <w:rPr>
                <w:rFonts w:eastAsia="Times New Roman" w:cstheme="majorHAnsi"/>
                <w:sz w:val="20"/>
                <w:szCs w:val="20"/>
                <w:lang w:val="fr-FR"/>
              </w:rPr>
              <w:t>augmentation des dépenses sensibles à la nutrition et spécifiquement axé</w:t>
            </w:r>
            <w:r w:rsidR="00E71446">
              <w:rPr>
                <w:rFonts w:eastAsia="Times New Roman" w:cstheme="majorHAnsi"/>
                <w:sz w:val="20"/>
                <w:szCs w:val="20"/>
                <w:lang w:val="fr-FR"/>
              </w:rPr>
              <w:t>e</w:t>
            </w:r>
            <w:r>
              <w:rPr>
                <w:rFonts w:eastAsia="Times New Roman" w:cstheme="majorHAnsi"/>
                <w:sz w:val="20"/>
                <w:szCs w:val="20"/>
                <w:lang w:val="fr-FR"/>
              </w:rPr>
              <w:t>s sur la nutrition dans le budget national au niveau national et infranational</w:t>
            </w:r>
            <w:bookmarkEnd w:id="13"/>
            <w:r>
              <w:rPr>
                <w:rFonts w:eastAsia="Times New Roman" w:cstheme="majorHAnsi"/>
                <w:sz w:val="20"/>
                <w:szCs w:val="20"/>
                <w:lang w:val="fr-FR"/>
              </w:rPr>
              <w:t xml:space="preserve"> (spécifier par personne ou globalement)</w:t>
            </w:r>
          </w:p>
        </w:tc>
      </w:tr>
      <w:tr w:rsidR="00CF72FE" w:rsidRPr="00880085" w14:paraId="3623178D" w14:textId="77777777" w:rsidTr="003D1EE0">
        <w:tc>
          <w:tcPr>
            <w:tcW w:w="3964" w:type="dxa"/>
          </w:tcPr>
          <w:p w14:paraId="6AB3E6E6" w14:textId="3144F023" w:rsidR="00CF72FE" w:rsidRPr="00BD3D80" w:rsidRDefault="00CF72FE">
            <w:pPr>
              <w:rPr>
                <w:rFonts w:eastAsia="Times New Roman" w:cstheme="majorHAnsi"/>
                <w:sz w:val="20"/>
                <w:szCs w:val="20"/>
                <w:lang w:val="fr-FR"/>
              </w:rPr>
            </w:pPr>
            <w:r>
              <w:rPr>
                <w:rFonts w:eastAsia="Times New Roman" w:cstheme="majorHAnsi"/>
                <w:sz w:val="20"/>
                <w:szCs w:val="20"/>
                <w:lang w:val="fr-FR"/>
              </w:rPr>
              <w:t xml:space="preserve">2.2) Les gouvernements et les donateurs emploient une approche durable et coordonnée pour financer les </w:t>
            </w:r>
            <w:r w:rsidR="0029661A">
              <w:rPr>
                <w:rFonts w:eastAsia="Times New Roman" w:cstheme="majorHAnsi"/>
                <w:sz w:val="20"/>
                <w:szCs w:val="20"/>
                <w:lang w:val="fr-FR"/>
              </w:rPr>
              <w:t>plans nationaux de nutrition</w:t>
            </w:r>
          </w:p>
        </w:tc>
        <w:tc>
          <w:tcPr>
            <w:tcW w:w="5954" w:type="dxa"/>
          </w:tcPr>
          <w:p w14:paraId="12ADF1D4" w14:textId="1DA96939" w:rsidR="00EC32F9" w:rsidRPr="00BD3D80" w:rsidRDefault="00B97680" w:rsidP="00354CE4">
            <w:pPr>
              <w:pStyle w:val="ListParagraph"/>
              <w:numPr>
                <w:ilvl w:val="0"/>
                <w:numId w:val="18"/>
              </w:numPr>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initiatives réussies pour le financement à long terme des PNN avec le soutien de</w:t>
            </w:r>
            <w:r w:rsidR="00E71446">
              <w:rPr>
                <w:rFonts w:eastAsia="Times New Roman" w:cstheme="majorHAnsi"/>
                <w:sz w:val="20"/>
                <w:szCs w:val="20"/>
                <w:lang w:val="fr-FR"/>
              </w:rPr>
              <w:t xml:space="preserve">s </w:t>
            </w:r>
            <w:r>
              <w:rPr>
                <w:rFonts w:eastAsia="Times New Roman" w:cstheme="majorHAnsi"/>
                <w:sz w:val="20"/>
                <w:szCs w:val="20"/>
                <w:lang w:val="fr-FR"/>
              </w:rPr>
              <w:t>ASC (par exemple, GFF, PPP, accords, ligne budgétaire pour la nutrition, etc.)</w:t>
            </w:r>
          </w:p>
        </w:tc>
      </w:tr>
      <w:tr w:rsidR="00CF72FE" w:rsidRPr="00880085" w14:paraId="4AD84814" w14:textId="77777777" w:rsidTr="003D1EE0">
        <w:tc>
          <w:tcPr>
            <w:tcW w:w="3964" w:type="dxa"/>
          </w:tcPr>
          <w:p w14:paraId="7B4B4546" w14:textId="492A4DA6" w:rsidR="00CF72FE" w:rsidRPr="00BD3D80" w:rsidRDefault="00CF72FE" w:rsidP="00CE0FBA">
            <w:pPr>
              <w:rPr>
                <w:rFonts w:eastAsia="Times New Roman" w:cstheme="majorHAnsi"/>
                <w:color w:val="000000"/>
                <w:sz w:val="20"/>
                <w:szCs w:val="20"/>
                <w:lang w:val="fr-FR"/>
              </w:rPr>
            </w:pPr>
            <w:r>
              <w:rPr>
                <w:rFonts w:eastAsia="Times New Roman" w:cstheme="majorHAnsi"/>
                <w:color w:val="000000"/>
                <w:sz w:val="20"/>
                <w:szCs w:val="20"/>
                <w:lang w:val="fr-FR"/>
              </w:rPr>
              <w:t xml:space="preserve">2.3) Les ressources sont mobilisées par des organismes régionaux et internationaux pour aider à financer les </w:t>
            </w:r>
            <w:r w:rsidR="0029661A">
              <w:rPr>
                <w:rFonts w:eastAsia="Times New Roman" w:cstheme="majorHAnsi"/>
                <w:color w:val="000000"/>
                <w:sz w:val="20"/>
                <w:szCs w:val="20"/>
                <w:lang w:val="fr-FR"/>
              </w:rPr>
              <w:t>plans nationaux de nutrition</w:t>
            </w:r>
          </w:p>
        </w:tc>
        <w:tc>
          <w:tcPr>
            <w:tcW w:w="5954" w:type="dxa"/>
          </w:tcPr>
          <w:p w14:paraId="11AD9275" w14:textId="78A82453" w:rsidR="00B257DD" w:rsidRPr="00BD3D80" w:rsidRDefault="00CF72FE" w:rsidP="00CE0FBA">
            <w:pPr>
              <w:pStyle w:val="ListParagraph"/>
              <w:numPr>
                <w:ilvl w:val="0"/>
                <w:numId w:val="18"/>
              </w:numPr>
              <w:rPr>
                <w:rFonts w:eastAsia="Times New Roman" w:cstheme="majorHAnsi"/>
                <w:sz w:val="20"/>
                <w:szCs w:val="20"/>
                <w:lang w:val="fr-FR"/>
              </w:rPr>
            </w:pPr>
            <w:r>
              <w:rPr>
                <w:rFonts w:eastAsia="Times New Roman" w:cstheme="majorHAnsi"/>
                <w:sz w:val="20"/>
                <w:szCs w:val="20"/>
                <w:lang w:val="fr-FR"/>
              </w:rPr>
              <w:t xml:space="preserve">Augmentation des investissements </w:t>
            </w:r>
            <w:r w:rsidR="000360D1">
              <w:rPr>
                <w:rFonts w:eastAsia="Times New Roman" w:cstheme="majorHAnsi"/>
                <w:sz w:val="20"/>
                <w:szCs w:val="20"/>
                <w:lang w:val="fr-FR"/>
              </w:rPr>
              <w:t xml:space="preserve">dans </w:t>
            </w:r>
            <w:r>
              <w:rPr>
                <w:rFonts w:eastAsia="Times New Roman" w:cstheme="majorHAnsi"/>
                <w:sz w:val="20"/>
                <w:szCs w:val="20"/>
                <w:lang w:val="fr-FR"/>
              </w:rPr>
              <w:t>les PNN par les parties prenantes régionales et mondiales suite à la mobilisation des ASC</w:t>
            </w:r>
            <w:bookmarkStart w:id="14" w:name="_Hlk504984531"/>
            <w:r>
              <w:rPr>
                <w:rFonts w:eastAsia="Times New Roman" w:cstheme="majorHAnsi"/>
                <w:sz w:val="20"/>
                <w:szCs w:val="20"/>
                <w:lang w:val="fr-FR"/>
              </w:rPr>
              <w:t xml:space="preserve"> ($ d</w:t>
            </w:r>
            <w:r w:rsidR="002C54BD">
              <w:rPr>
                <w:rFonts w:eastAsia="Times New Roman" w:cstheme="majorHAnsi"/>
                <w:sz w:val="20"/>
                <w:szCs w:val="20"/>
                <w:lang w:val="fr-FR"/>
              </w:rPr>
              <w:t>’</w:t>
            </w:r>
            <w:r>
              <w:rPr>
                <w:rFonts w:eastAsia="Times New Roman" w:cstheme="majorHAnsi"/>
                <w:sz w:val="20"/>
                <w:szCs w:val="20"/>
                <w:lang w:val="fr-FR"/>
              </w:rPr>
              <w:t>investissement/type de parties prenantes/domaines d</w:t>
            </w:r>
            <w:r w:rsidR="002C54BD">
              <w:rPr>
                <w:rFonts w:eastAsia="Times New Roman" w:cstheme="majorHAnsi"/>
                <w:sz w:val="20"/>
                <w:szCs w:val="20"/>
                <w:lang w:val="fr-FR"/>
              </w:rPr>
              <w:t>’</w:t>
            </w:r>
            <w:r>
              <w:rPr>
                <w:rFonts w:eastAsia="Times New Roman" w:cstheme="majorHAnsi"/>
                <w:sz w:val="20"/>
                <w:szCs w:val="20"/>
                <w:lang w:val="fr-FR"/>
              </w:rPr>
              <w:t>investissement/bénéficiaires ciblés</w:t>
            </w:r>
            <w:bookmarkEnd w:id="14"/>
            <w:r>
              <w:rPr>
                <w:rFonts w:eastAsia="Times New Roman" w:cstheme="majorHAnsi"/>
                <w:sz w:val="20"/>
                <w:szCs w:val="20"/>
                <w:lang w:val="fr-FR"/>
              </w:rPr>
              <w:t>).</w:t>
            </w:r>
          </w:p>
        </w:tc>
      </w:tr>
    </w:tbl>
    <w:p w14:paraId="6651FC3B" w14:textId="77777777" w:rsidR="00F95A6E" w:rsidRPr="00BD3D80" w:rsidRDefault="00F95A6E">
      <w:pPr>
        <w:rPr>
          <w:lang w:val="fr-FR"/>
        </w:rPr>
      </w:pPr>
    </w:p>
    <w:p w14:paraId="7D811868" w14:textId="0BAFE342" w:rsidR="00E07158" w:rsidRDefault="003D1EE0" w:rsidP="001A3B0A">
      <w:pPr>
        <w:pStyle w:val="Heading2"/>
        <w:rPr>
          <w:b/>
          <w:color w:val="FFC000" w:themeColor="accent4"/>
          <w:sz w:val="28"/>
          <w:szCs w:val="28"/>
        </w:rPr>
      </w:pPr>
      <w:r>
        <w:rPr>
          <w:lang w:val="fr-FR"/>
        </w:rPr>
        <w:br w:type="page"/>
      </w:r>
      <w:bookmarkStart w:id="15" w:name="_Toc37072347"/>
      <w:r>
        <w:rPr>
          <w:b/>
          <w:bCs/>
          <w:color w:val="FFC000" w:themeColor="accent4"/>
          <w:sz w:val="28"/>
          <w:szCs w:val="28"/>
          <w:lang w:val="fr-FR"/>
        </w:rPr>
        <w:lastRenderedPageBreak/>
        <w:t>Produits</w:t>
      </w:r>
      <w:r w:rsidR="002C54BD">
        <w:rPr>
          <w:b/>
          <w:bCs/>
          <w:color w:val="FFC000" w:themeColor="accent4"/>
          <w:sz w:val="28"/>
          <w:szCs w:val="28"/>
          <w:lang w:val="fr-FR"/>
        </w:rPr>
        <w:t> </w:t>
      </w:r>
      <w:r>
        <w:rPr>
          <w:b/>
          <w:bCs/>
          <w:color w:val="FFC000" w:themeColor="accent4"/>
          <w:sz w:val="28"/>
          <w:szCs w:val="28"/>
          <w:lang w:val="fr-FR"/>
        </w:rPr>
        <w:t>2</w:t>
      </w:r>
      <w:bookmarkEnd w:id="15"/>
    </w:p>
    <w:p w14:paraId="55A9A8A9" w14:textId="68B83A07" w:rsidR="00E07158" w:rsidRDefault="00E07158" w:rsidP="00E07158"/>
    <w:tbl>
      <w:tblPr>
        <w:tblW w:w="5657" w:type="pct"/>
        <w:jc w:val="center"/>
        <w:tblLook w:val="04A0" w:firstRow="1" w:lastRow="0" w:firstColumn="1" w:lastColumn="0" w:noHBand="0" w:noVBand="1"/>
      </w:tblPr>
      <w:tblGrid>
        <w:gridCol w:w="473"/>
        <w:gridCol w:w="4625"/>
        <w:gridCol w:w="5103"/>
      </w:tblGrid>
      <w:tr w:rsidR="00E07158" w:rsidRPr="00880085" w14:paraId="649EC140" w14:textId="77777777" w:rsidTr="005E526B">
        <w:trPr>
          <w:trHeight w:val="7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2998A" w14:textId="31AC86F8" w:rsidR="00E07158" w:rsidRPr="00BD3D80" w:rsidRDefault="00E07158" w:rsidP="005E526B">
            <w:pPr>
              <w:spacing w:after="0" w:line="240" w:lineRule="auto"/>
              <w:rPr>
                <w:sz w:val="20"/>
                <w:szCs w:val="20"/>
                <w:highlight w:val="lightGray"/>
                <w:lang w:val="fr-FR"/>
              </w:rPr>
            </w:pPr>
            <w:r>
              <w:rPr>
                <w:sz w:val="20"/>
                <w:szCs w:val="20"/>
                <w:highlight w:val="lightGray"/>
                <w:lang w:val="fr-FR"/>
              </w:rPr>
              <w:t>Produits et indicateurs proposés pour le résultat</w:t>
            </w:r>
            <w:r w:rsidR="002C54BD">
              <w:rPr>
                <w:sz w:val="20"/>
                <w:szCs w:val="20"/>
                <w:highlight w:val="lightGray"/>
                <w:lang w:val="fr-FR"/>
              </w:rPr>
              <w:t> </w:t>
            </w:r>
            <w:r>
              <w:rPr>
                <w:sz w:val="20"/>
                <w:szCs w:val="20"/>
                <w:highlight w:val="lightGray"/>
                <w:lang w:val="fr-FR"/>
              </w:rPr>
              <w:t>2</w:t>
            </w:r>
          </w:p>
          <w:p w14:paraId="675936F8" w14:textId="76175737" w:rsidR="00E07158" w:rsidRPr="00BD3D80" w:rsidRDefault="00E07158" w:rsidP="005E526B">
            <w:pPr>
              <w:spacing w:after="0" w:line="240" w:lineRule="auto"/>
              <w:rPr>
                <w:rFonts w:eastAsia="Times New Roman" w:cstheme="majorHAnsi"/>
                <w:b/>
                <w:sz w:val="20"/>
                <w:szCs w:val="20"/>
                <w:highlight w:val="lightGray"/>
                <w:lang w:val="fr-FR"/>
              </w:rPr>
            </w:pPr>
            <w:r>
              <w:rPr>
                <w:rFonts w:eastAsia="Times New Roman" w:cstheme="majorHAnsi"/>
                <w:b/>
                <w:bCs/>
                <w:color w:val="000000"/>
                <w:sz w:val="20"/>
                <w:szCs w:val="20"/>
                <w:lang w:val="fr-FR"/>
              </w:rPr>
              <w:t>Les ressources internationales et nationales sont mobilisées pour financer l</w:t>
            </w:r>
            <w:r w:rsidR="002C54BD">
              <w:rPr>
                <w:rFonts w:eastAsia="Times New Roman" w:cstheme="majorHAnsi"/>
                <w:b/>
                <w:bCs/>
                <w:color w:val="000000"/>
                <w:sz w:val="20"/>
                <w:szCs w:val="20"/>
                <w:lang w:val="fr-FR"/>
              </w:rPr>
              <w:t>’</w:t>
            </w:r>
            <w:r>
              <w:rPr>
                <w:rFonts w:eastAsia="Times New Roman" w:cstheme="majorHAnsi"/>
                <w:b/>
                <w:bCs/>
                <w:color w:val="000000"/>
                <w:sz w:val="20"/>
                <w:szCs w:val="20"/>
                <w:lang w:val="fr-FR"/>
              </w:rPr>
              <w:t xml:space="preserve">intégralité des </w:t>
            </w:r>
            <w:r w:rsidR="0029661A">
              <w:rPr>
                <w:rFonts w:eastAsia="Times New Roman" w:cstheme="majorHAnsi"/>
                <w:b/>
                <w:bCs/>
                <w:color w:val="000000"/>
                <w:sz w:val="20"/>
                <w:szCs w:val="20"/>
                <w:lang w:val="fr-FR"/>
              </w:rPr>
              <w:t>plans nationaux de nutrition</w:t>
            </w:r>
          </w:p>
        </w:tc>
      </w:tr>
      <w:tr w:rsidR="00E07158" w:rsidRPr="00880085" w14:paraId="08FD5436" w14:textId="77777777" w:rsidTr="00B53EAE">
        <w:trPr>
          <w:trHeight w:val="70"/>
          <w:jc w:val="center"/>
        </w:trPr>
        <w:tc>
          <w:tcPr>
            <w:tcW w:w="232" w:type="pct"/>
            <w:tcBorders>
              <w:top w:val="single" w:sz="4" w:space="0" w:color="auto"/>
              <w:left w:val="single" w:sz="4" w:space="0" w:color="auto"/>
              <w:right w:val="single" w:sz="4" w:space="0" w:color="auto"/>
            </w:tcBorders>
            <w:shd w:val="clear" w:color="auto" w:fill="auto"/>
            <w:textDirection w:val="btLr"/>
          </w:tcPr>
          <w:p w14:paraId="3968A970" w14:textId="77777777" w:rsidR="00E07158" w:rsidRPr="00BD3D80" w:rsidRDefault="00E07158" w:rsidP="005E526B">
            <w:pPr>
              <w:spacing w:after="0" w:line="240" w:lineRule="auto"/>
              <w:ind w:left="113" w:right="113"/>
              <w:jc w:val="center"/>
              <w:rPr>
                <w:rFonts w:eastAsia="Times New Roman" w:cstheme="majorHAnsi"/>
                <w:b/>
                <w:sz w:val="20"/>
                <w:szCs w:val="20"/>
                <w:lang w:val="fr-FR"/>
              </w:rPr>
            </w:pPr>
          </w:p>
        </w:tc>
        <w:tc>
          <w:tcPr>
            <w:tcW w:w="2267" w:type="pct"/>
            <w:tcBorders>
              <w:top w:val="single" w:sz="4" w:space="0" w:color="auto"/>
              <w:left w:val="single" w:sz="4" w:space="0" w:color="auto"/>
              <w:bottom w:val="single" w:sz="4" w:space="0" w:color="auto"/>
              <w:right w:val="single" w:sz="4" w:space="0" w:color="auto"/>
            </w:tcBorders>
          </w:tcPr>
          <w:p w14:paraId="7F390AD2" w14:textId="77777777" w:rsidR="00E07158" w:rsidRPr="00354CE4" w:rsidRDefault="00E07158" w:rsidP="005E526B">
            <w:pPr>
              <w:spacing w:line="240" w:lineRule="auto"/>
              <w:rPr>
                <w:b/>
                <w:sz w:val="20"/>
                <w:szCs w:val="20"/>
              </w:rPr>
            </w:pPr>
            <w:r>
              <w:rPr>
                <w:b/>
                <w:bCs/>
                <w:sz w:val="20"/>
                <w:szCs w:val="20"/>
                <w:lang w:val="fr-FR"/>
              </w:rPr>
              <w:t>Produits</w:t>
            </w:r>
          </w:p>
        </w:tc>
        <w:tc>
          <w:tcPr>
            <w:tcW w:w="2501" w:type="pct"/>
            <w:tcBorders>
              <w:top w:val="single" w:sz="4" w:space="0" w:color="auto"/>
              <w:left w:val="single" w:sz="4" w:space="0" w:color="auto"/>
              <w:bottom w:val="single" w:sz="4" w:space="0" w:color="auto"/>
              <w:right w:val="single" w:sz="4" w:space="0" w:color="auto"/>
            </w:tcBorders>
          </w:tcPr>
          <w:p w14:paraId="4A611206" w14:textId="0E7567A0" w:rsidR="00E07158" w:rsidRPr="00BD3D80" w:rsidRDefault="00E07158" w:rsidP="005E526B">
            <w:pPr>
              <w:spacing w:after="0" w:line="240" w:lineRule="auto"/>
              <w:rPr>
                <w:sz w:val="20"/>
                <w:szCs w:val="20"/>
                <w:lang w:val="fr-FR"/>
              </w:rPr>
            </w:pPr>
            <w:r>
              <w:rPr>
                <w:b/>
                <w:bCs/>
                <w:sz w:val="20"/>
                <w:szCs w:val="20"/>
                <w:lang w:val="fr-FR"/>
              </w:rPr>
              <w:t>Indicateurs suggérés (lorsque plusieurs choix sont possibles, veuillez n</w:t>
            </w:r>
            <w:r w:rsidR="002C54BD">
              <w:rPr>
                <w:b/>
                <w:bCs/>
                <w:sz w:val="20"/>
                <w:szCs w:val="20"/>
                <w:lang w:val="fr-FR"/>
              </w:rPr>
              <w:t>’</w:t>
            </w:r>
            <w:r>
              <w:rPr>
                <w:b/>
                <w:bCs/>
                <w:sz w:val="20"/>
                <w:szCs w:val="20"/>
                <w:lang w:val="fr-FR"/>
              </w:rPr>
              <w:t>en sélectionner qu</w:t>
            </w:r>
            <w:r w:rsidR="002C54BD">
              <w:rPr>
                <w:b/>
                <w:bCs/>
                <w:sz w:val="20"/>
                <w:szCs w:val="20"/>
                <w:lang w:val="fr-FR"/>
              </w:rPr>
              <w:t>’</w:t>
            </w:r>
            <w:r>
              <w:rPr>
                <w:b/>
                <w:bCs/>
                <w:sz w:val="20"/>
                <w:szCs w:val="20"/>
                <w:lang w:val="fr-FR"/>
              </w:rPr>
              <w:t>un seul)</w:t>
            </w:r>
          </w:p>
        </w:tc>
      </w:tr>
      <w:tr w:rsidR="00E07158" w:rsidRPr="00880085" w14:paraId="2B351CCD" w14:textId="77777777" w:rsidTr="00B53EAE">
        <w:trPr>
          <w:trHeight w:val="70"/>
          <w:jc w:val="center"/>
        </w:trPr>
        <w:tc>
          <w:tcPr>
            <w:tcW w:w="232" w:type="pct"/>
            <w:vMerge w:val="restart"/>
            <w:tcBorders>
              <w:top w:val="single" w:sz="4" w:space="0" w:color="auto"/>
              <w:left w:val="single" w:sz="4" w:space="0" w:color="auto"/>
              <w:right w:val="single" w:sz="4" w:space="0" w:color="auto"/>
            </w:tcBorders>
            <w:shd w:val="clear" w:color="auto" w:fill="auto"/>
            <w:textDirection w:val="btLr"/>
          </w:tcPr>
          <w:p w14:paraId="799461E6" w14:textId="40090854" w:rsidR="00E07158" w:rsidRPr="00354CE4" w:rsidRDefault="00E07158" w:rsidP="005E526B">
            <w:pPr>
              <w:spacing w:after="0" w:line="240" w:lineRule="auto"/>
              <w:ind w:left="113" w:right="113"/>
              <w:jc w:val="center"/>
              <w:rPr>
                <w:rFonts w:eastAsia="Times New Roman" w:cstheme="majorHAnsi"/>
                <w:b/>
                <w:sz w:val="20"/>
                <w:szCs w:val="20"/>
              </w:rPr>
            </w:pPr>
            <w:r>
              <w:rPr>
                <w:rFonts w:eastAsia="Times New Roman" w:cstheme="majorHAnsi"/>
                <w:b/>
                <w:bCs/>
                <w:sz w:val="20"/>
                <w:szCs w:val="20"/>
                <w:lang w:val="fr-FR"/>
              </w:rPr>
              <w:t>Résultat intermédiaire</w:t>
            </w:r>
            <w:r w:rsidR="002C54BD">
              <w:rPr>
                <w:rFonts w:eastAsia="Times New Roman" w:cstheme="majorHAnsi"/>
                <w:b/>
                <w:bCs/>
                <w:sz w:val="20"/>
                <w:szCs w:val="20"/>
                <w:lang w:val="fr-FR"/>
              </w:rPr>
              <w:t> </w:t>
            </w:r>
            <w:r>
              <w:rPr>
                <w:rFonts w:eastAsia="Times New Roman" w:cstheme="majorHAnsi"/>
                <w:b/>
                <w:bCs/>
                <w:sz w:val="20"/>
                <w:szCs w:val="20"/>
                <w:lang w:val="fr-FR"/>
              </w:rPr>
              <w:t>2.1</w:t>
            </w:r>
          </w:p>
        </w:tc>
        <w:tc>
          <w:tcPr>
            <w:tcW w:w="2267" w:type="pct"/>
            <w:tcBorders>
              <w:top w:val="single" w:sz="4" w:space="0" w:color="auto"/>
              <w:left w:val="single" w:sz="4" w:space="0" w:color="auto"/>
              <w:bottom w:val="single" w:sz="4" w:space="0" w:color="auto"/>
              <w:right w:val="single" w:sz="4" w:space="0" w:color="auto"/>
            </w:tcBorders>
          </w:tcPr>
          <w:p w14:paraId="639D3159" w14:textId="2616BA55" w:rsidR="00E07158" w:rsidRPr="00BD3D80" w:rsidRDefault="00E07158" w:rsidP="00354CE4">
            <w:pPr>
              <w:spacing w:line="240" w:lineRule="auto"/>
              <w:rPr>
                <w:sz w:val="20"/>
                <w:szCs w:val="20"/>
                <w:lang w:val="fr-FR"/>
              </w:rPr>
            </w:pPr>
            <w:r>
              <w:rPr>
                <w:sz w:val="20"/>
                <w:szCs w:val="20"/>
                <w:lang w:val="fr-FR"/>
              </w:rPr>
              <w:t xml:space="preserve">2.1.1 </w:t>
            </w:r>
            <w:r w:rsidR="000C4BDF">
              <w:rPr>
                <w:sz w:val="20"/>
                <w:szCs w:val="20"/>
                <w:lang w:val="fr-FR"/>
              </w:rPr>
              <w:t>C</w:t>
            </w:r>
            <w:r>
              <w:rPr>
                <w:sz w:val="20"/>
                <w:szCs w:val="20"/>
                <w:lang w:val="fr-FR"/>
              </w:rPr>
              <w:t xml:space="preserve">ontribution de la société civile aux allocations et dépenses sensibles à la nutrition et axées sur la nutrition mises à disposition aux niveaux national et infranational, </w:t>
            </w:r>
            <w:r w:rsidR="000C4BDF">
              <w:rPr>
                <w:sz w:val="20"/>
                <w:szCs w:val="20"/>
                <w:lang w:val="fr-FR"/>
              </w:rPr>
              <w:t xml:space="preserve">et analyse de ces allocations et dépenses </w:t>
            </w:r>
            <w:r>
              <w:rPr>
                <w:sz w:val="20"/>
                <w:szCs w:val="20"/>
                <w:lang w:val="fr-FR"/>
              </w:rPr>
              <w:t>en complément ou en collaboration avec toute analyse et révision budgétaire existante</w:t>
            </w:r>
            <w:r w:rsidR="000C4BDF">
              <w:rPr>
                <w:sz w:val="20"/>
                <w:szCs w:val="20"/>
                <w:lang w:val="fr-FR"/>
              </w:rPr>
              <w:t>s</w:t>
            </w:r>
          </w:p>
        </w:tc>
        <w:tc>
          <w:tcPr>
            <w:tcW w:w="2501" w:type="pct"/>
            <w:tcBorders>
              <w:top w:val="single" w:sz="4" w:space="0" w:color="auto"/>
              <w:left w:val="single" w:sz="4" w:space="0" w:color="auto"/>
              <w:bottom w:val="single" w:sz="4" w:space="0" w:color="auto"/>
              <w:right w:val="single" w:sz="4" w:space="0" w:color="auto"/>
            </w:tcBorders>
          </w:tcPr>
          <w:p w14:paraId="7C239096" w14:textId="21BE4657" w:rsidR="00E07158" w:rsidRPr="00BD3D80" w:rsidRDefault="00E07158" w:rsidP="005E526B">
            <w:pPr>
              <w:pStyle w:val="ListParagraph"/>
              <w:numPr>
                <w:ilvl w:val="0"/>
                <w:numId w:val="13"/>
              </w:numPr>
              <w:spacing w:after="0" w:line="240" w:lineRule="auto"/>
              <w:rPr>
                <w:rFonts w:eastAsia="Times New Roman" w:cstheme="majorHAnsi"/>
                <w:sz w:val="20"/>
                <w:szCs w:val="20"/>
                <w:lang w:val="fr-FR"/>
              </w:rPr>
            </w:pPr>
            <w:r>
              <w:rPr>
                <w:sz w:val="20"/>
                <w:szCs w:val="20"/>
                <w:lang w:val="fr-FR"/>
              </w:rPr>
              <w:t xml:space="preserve">Portée, qualité et utilisation des données financières issues des analyses menées par les ASC (en complément ou en tant que contribution)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 xml:space="preserve"> </w:t>
            </w:r>
            <w:r w:rsidR="00BB74DB">
              <w:rPr>
                <w:color w:val="ED7D31" w:themeColor="accent2"/>
                <w:sz w:val="20"/>
                <w:szCs w:val="20"/>
                <w:lang w:val="fr-FR"/>
              </w:rPr>
              <w:t>P</w:t>
            </w:r>
            <w:r>
              <w:rPr>
                <w:color w:val="ED7D31" w:themeColor="accent2"/>
                <w:sz w:val="20"/>
                <w:szCs w:val="20"/>
                <w:lang w:val="fr-FR"/>
              </w:rPr>
              <w:t>roduit</w:t>
            </w:r>
            <w:r w:rsidR="002C54BD">
              <w:rPr>
                <w:color w:val="ED7D31" w:themeColor="accent2"/>
                <w:sz w:val="20"/>
                <w:szCs w:val="20"/>
                <w:lang w:val="fr-FR"/>
              </w:rPr>
              <w:t> </w:t>
            </w:r>
            <w:r>
              <w:rPr>
                <w:color w:val="ED7D31" w:themeColor="accent2"/>
                <w:sz w:val="20"/>
                <w:szCs w:val="20"/>
                <w:lang w:val="fr-FR"/>
              </w:rPr>
              <w:t>2.1.1)</w:t>
            </w:r>
          </w:p>
          <w:p w14:paraId="207B09D6" w14:textId="7906053A" w:rsidR="00151E80" w:rsidRPr="00BD3D80" w:rsidRDefault="00151E80" w:rsidP="00151E80">
            <w:pPr>
              <w:pStyle w:val="ListParagraph"/>
              <w:numPr>
                <w:ilvl w:val="0"/>
                <w:numId w:val="13"/>
              </w:numPr>
              <w:spacing w:after="0" w:line="240" w:lineRule="auto"/>
              <w:rPr>
                <w:rFonts w:eastAsia="Times New Roman" w:cstheme="majorHAnsi"/>
                <w:sz w:val="20"/>
                <w:szCs w:val="20"/>
                <w:lang w:val="fr-FR"/>
              </w:rPr>
            </w:pPr>
            <w:r>
              <w:rPr>
                <w:sz w:val="20"/>
                <w:szCs w:val="20"/>
                <w:lang w:val="fr-FR"/>
              </w:rPr>
              <w:t>Nombre de processus de formulation de politiques ou de plans nationaux ayant utilisé l</w:t>
            </w:r>
            <w:r w:rsidR="002C54BD">
              <w:rPr>
                <w:sz w:val="20"/>
                <w:szCs w:val="20"/>
                <w:lang w:val="fr-FR"/>
              </w:rPr>
              <w:t>’</w:t>
            </w:r>
            <w:r>
              <w:rPr>
                <w:sz w:val="20"/>
                <w:szCs w:val="20"/>
                <w:lang w:val="fr-FR"/>
              </w:rPr>
              <w:t xml:space="preserve">analyse budgétaire effectuée par les ASC, soit </w:t>
            </w:r>
            <w:r w:rsidR="00496FB9">
              <w:rPr>
                <w:sz w:val="20"/>
                <w:szCs w:val="20"/>
                <w:lang w:val="fr-FR"/>
              </w:rPr>
              <w:t xml:space="preserve">en </w:t>
            </w:r>
            <w:r>
              <w:rPr>
                <w:sz w:val="20"/>
                <w:szCs w:val="20"/>
                <w:lang w:val="fr-FR"/>
              </w:rPr>
              <w:t xml:space="preserve">complément, soit en tant que contribution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 xml:space="preserve"> </w:t>
            </w:r>
            <w:r w:rsidR="00BB74DB">
              <w:rPr>
                <w:color w:val="ED7D31" w:themeColor="accent2"/>
                <w:sz w:val="20"/>
                <w:szCs w:val="20"/>
                <w:lang w:val="fr-FR"/>
              </w:rPr>
              <w:t>P</w:t>
            </w:r>
            <w:r>
              <w:rPr>
                <w:color w:val="ED7D31" w:themeColor="accent2"/>
                <w:sz w:val="20"/>
                <w:szCs w:val="20"/>
                <w:lang w:val="fr-FR"/>
              </w:rPr>
              <w:t>roduit</w:t>
            </w:r>
            <w:r w:rsidR="002C54BD">
              <w:rPr>
                <w:color w:val="ED7D31" w:themeColor="accent2"/>
                <w:sz w:val="20"/>
                <w:szCs w:val="20"/>
                <w:lang w:val="fr-FR"/>
              </w:rPr>
              <w:t> </w:t>
            </w:r>
            <w:r>
              <w:rPr>
                <w:color w:val="ED7D31" w:themeColor="accent2"/>
                <w:sz w:val="20"/>
                <w:szCs w:val="20"/>
                <w:lang w:val="fr-FR"/>
              </w:rPr>
              <w:t>2.1.1)</w:t>
            </w:r>
          </w:p>
        </w:tc>
      </w:tr>
      <w:tr w:rsidR="00E07158" w:rsidRPr="00880085" w14:paraId="1E185BA6" w14:textId="77777777" w:rsidTr="00B53EAE">
        <w:trPr>
          <w:trHeight w:val="70"/>
          <w:jc w:val="center"/>
        </w:trPr>
        <w:tc>
          <w:tcPr>
            <w:tcW w:w="232" w:type="pct"/>
            <w:vMerge/>
            <w:tcBorders>
              <w:left w:val="single" w:sz="4" w:space="0" w:color="auto"/>
              <w:right w:val="single" w:sz="4" w:space="0" w:color="auto"/>
            </w:tcBorders>
            <w:shd w:val="clear" w:color="auto" w:fill="auto"/>
          </w:tcPr>
          <w:p w14:paraId="2F9EB7F2"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single" w:sz="4" w:space="0" w:color="auto"/>
              <w:left w:val="single" w:sz="4" w:space="0" w:color="auto"/>
              <w:bottom w:val="single" w:sz="4" w:space="0" w:color="auto"/>
              <w:right w:val="single" w:sz="4" w:space="0" w:color="auto"/>
            </w:tcBorders>
          </w:tcPr>
          <w:p w14:paraId="77037FB9" w14:textId="48EAC469" w:rsidR="00E07158" w:rsidRPr="00BD3D80" w:rsidRDefault="00354CE4" w:rsidP="005E526B">
            <w:pPr>
              <w:spacing w:after="0" w:line="240" w:lineRule="auto"/>
              <w:rPr>
                <w:rFonts w:eastAsia="Times New Roman" w:cstheme="majorHAnsi"/>
                <w:sz w:val="20"/>
                <w:szCs w:val="20"/>
                <w:lang w:val="fr-FR"/>
              </w:rPr>
            </w:pPr>
            <w:r>
              <w:rPr>
                <w:sz w:val="20"/>
                <w:szCs w:val="20"/>
                <w:lang w:val="fr-FR"/>
              </w:rPr>
              <w:t xml:space="preserve">2.1.2 Formation des OSC en matière de plaidoyer budgétaire </w:t>
            </w:r>
          </w:p>
          <w:p w14:paraId="5C47E0FB" w14:textId="77777777" w:rsidR="00E07158" w:rsidRPr="00BD3D80" w:rsidRDefault="00E07158" w:rsidP="005E526B">
            <w:pPr>
              <w:spacing w:after="0" w:line="240" w:lineRule="auto"/>
              <w:rPr>
                <w:rFonts w:eastAsia="Times New Roman" w:cstheme="majorHAnsi"/>
                <w:sz w:val="20"/>
                <w:szCs w:val="20"/>
                <w:lang w:val="fr-FR"/>
              </w:rPr>
            </w:pPr>
          </w:p>
        </w:tc>
        <w:tc>
          <w:tcPr>
            <w:tcW w:w="2501" w:type="pct"/>
            <w:tcBorders>
              <w:top w:val="single" w:sz="4" w:space="0" w:color="auto"/>
              <w:left w:val="single" w:sz="4" w:space="0" w:color="auto"/>
              <w:bottom w:val="single" w:sz="4" w:space="0" w:color="auto"/>
              <w:right w:val="single" w:sz="4" w:space="0" w:color="auto"/>
            </w:tcBorders>
          </w:tcPr>
          <w:p w14:paraId="4C8ED1ED" w14:textId="442A6E5A"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Nombre de représentants d</w:t>
            </w:r>
            <w:r w:rsidR="002C54BD">
              <w:rPr>
                <w:rFonts w:eastAsia="Times New Roman" w:cstheme="majorHAnsi"/>
                <w:sz w:val="20"/>
                <w:szCs w:val="20"/>
                <w:lang w:val="fr-FR"/>
              </w:rPr>
              <w:t>’</w:t>
            </w:r>
            <w:r>
              <w:rPr>
                <w:rFonts w:eastAsia="Times New Roman" w:cstheme="majorHAnsi"/>
                <w:sz w:val="20"/>
                <w:szCs w:val="20"/>
                <w:lang w:val="fr-FR"/>
              </w:rPr>
              <w:t>OSC (ventilés par sexe) formés au plaidoyer budgétaire</w:t>
            </w:r>
          </w:p>
        </w:tc>
      </w:tr>
      <w:tr w:rsidR="00E07158" w:rsidRPr="00880085" w14:paraId="146BA7ED" w14:textId="77777777" w:rsidTr="00B53EAE">
        <w:trPr>
          <w:trHeight w:val="300"/>
          <w:jc w:val="center"/>
        </w:trPr>
        <w:tc>
          <w:tcPr>
            <w:tcW w:w="232" w:type="pct"/>
            <w:vMerge/>
            <w:tcBorders>
              <w:left w:val="single" w:sz="4" w:space="0" w:color="auto"/>
              <w:right w:val="single" w:sz="4" w:space="0" w:color="auto"/>
            </w:tcBorders>
            <w:shd w:val="clear" w:color="auto" w:fill="auto"/>
          </w:tcPr>
          <w:p w14:paraId="2780AE06"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nil"/>
              <w:left w:val="single" w:sz="4" w:space="0" w:color="auto"/>
              <w:bottom w:val="single" w:sz="4" w:space="0" w:color="auto"/>
              <w:right w:val="single" w:sz="4" w:space="0" w:color="auto"/>
            </w:tcBorders>
          </w:tcPr>
          <w:p w14:paraId="0EA0D0EF" w14:textId="44EC0D3D" w:rsidR="00E07158" w:rsidRPr="00BD3D80" w:rsidRDefault="00354CE4" w:rsidP="005E526B">
            <w:pPr>
              <w:spacing w:after="0" w:line="240" w:lineRule="auto"/>
              <w:rPr>
                <w:rFonts w:eastAsia="Times New Roman" w:cstheme="majorHAnsi"/>
                <w:sz w:val="20"/>
                <w:szCs w:val="20"/>
                <w:lang w:val="fr-FR"/>
              </w:rPr>
            </w:pPr>
            <w:r>
              <w:rPr>
                <w:sz w:val="20"/>
                <w:szCs w:val="20"/>
                <w:lang w:val="fr-FR"/>
              </w:rPr>
              <w:t>2.1.3 Des rapports d</w:t>
            </w:r>
            <w:r w:rsidR="002C54BD">
              <w:rPr>
                <w:sz w:val="20"/>
                <w:szCs w:val="20"/>
                <w:lang w:val="fr-FR"/>
              </w:rPr>
              <w:t>’</w:t>
            </w:r>
            <w:r>
              <w:rPr>
                <w:sz w:val="20"/>
                <w:szCs w:val="20"/>
                <w:lang w:val="fr-FR"/>
              </w:rPr>
              <w:t>analyse budgétaire infranationaux, nationaux et régionaux sont disponibles</w:t>
            </w:r>
          </w:p>
        </w:tc>
        <w:tc>
          <w:tcPr>
            <w:tcW w:w="2501" w:type="pct"/>
            <w:tcBorders>
              <w:top w:val="nil"/>
              <w:left w:val="single" w:sz="4" w:space="0" w:color="auto"/>
              <w:bottom w:val="single" w:sz="4" w:space="0" w:color="auto"/>
              <w:right w:val="single" w:sz="4" w:space="0" w:color="auto"/>
            </w:tcBorders>
          </w:tcPr>
          <w:p w14:paraId="4256FDEC" w14:textId="5B8FD5D9" w:rsidR="00151E80" w:rsidRPr="00BD3D80" w:rsidRDefault="00151E80" w:rsidP="00151E80">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 xml:space="preserve">analyses budgétaires nationales effectuées par les ASC, soit </w:t>
            </w:r>
            <w:r w:rsidR="00496FB9">
              <w:rPr>
                <w:rFonts w:eastAsia="Times New Roman" w:cstheme="majorHAnsi"/>
                <w:sz w:val="20"/>
                <w:szCs w:val="20"/>
                <w:lang w:val="fr-FR"/>
              </w:rPr>
              <w:t>en</w:t>
            </w:r>
            <w:r>
              <w:rPr>
                <w:rFonts w:eastAsia="Times New Roman" w:cstheme="majorHAnsi"/>
                <w:sz w:val="20"/>
                <w:szCs w:val="20"/>
                <w:lang w:val="fr-FR"/>
              </w:rPr>
              <w:t xml:space="preserve"> complément, soit en tant que contribution </w:t>
            </w:r>
            <w:r>
              <w:rPr>
                <w:rFonts w:eastAsia="Times New Roman" w:cstheme="majorHAnsi"/>
                <w:color w:val="ED7D31" w:themeColor="accent2"/>
                <w:sz w:val="20"/>
                <w:szCs w:val="20"/>
                <w:lang w:val="fr-FR"/>
              </w:rPr>
              <w:t>(</w:t>
            </w:r>
            <w:r w:rsidR="00BB74DB">
              <w:rPr>
                <w:rFonts w:eastAsia="Times New Roman" w:cstheme="majorHAnsi"/>
                <w:color w:val="ED7D31" w:themeColor="accent2"/>
                <w:sz w:val="20"/>
                <w:szCs w:val="20"/>
                <w:lang w:val="fr-FR"/>
              </w:rPr>
              <w:t>fonds communs</w:t>
            </w:r>
            <w:r>
              <w:rPr>
                <w:rFonts w:eastAsia="Times New Roman" w:cstheme="majorHAnsi"/>
                <w:color w:val="ED7D31" w:themeColor="accent2"/>
                <w:sz w:val="20"/>
                <w:szCs w:val="20"/>
                <w:lang w:val="fr-FR"/>
              </w:rPr>
              <w:t xml:space="preserve"> </w:t>
            </w:r>
            <w:r w:rsidR="00496FB9">
              <w:rPr>
                <w:rFonts w:eastAsia="Times New Roman" w:cstheme="majorHAnsi"/>
                <w:color w:val="ED7D31" w:themeColor="accent2"/>
                <w:sz w:val="20"/>
                <w:szCs w:val="20"/>
                <w:lang w:val="fr-FR"/>
              </w:rPr>
              <w:t>P</w:t>
            </w:r>
            <w:r>
              <w:rPr>
                <w:rFonts w:eastAsia="Times New Roman" w:cstheme="majorHAnsi"/>
                <w:color w:val="ED7D31" w:themeColor="accent2"/>
                <w:sz w:val="20"/>
                <w:szCs w:val="20"/>
                <w:lang w:val="fr-FR"/>
              </w:rPr>
              <w:t>roduit</w:t>
            </w:r>
            <w:r w:rsidR="002C54BD">
              <w:rPr>
                <w:rFonts w:eastAsia="Times New Roman" w:cstheme="majorHAnsi"/>
                <w:color w:val="ED7D31" w:themeColor="accent2"/>
                <w:sz w:val="20"/>
                <w:szCs w:val="20"/>
                <w:lang w:val="fr-FR"/>
              </w:rPr>
              <w:t> </w:t>
            </w:r>
            <w:r>
              <w:rPr>
                <w:rFonts w:eastAsia="Times New Roman" w:cstheme="majorHAnsi"/>
                <w:color w:val="ED7D31" w:themeColor="accent2"/>
                <w:sz w:val="20"/>
                <w:szCs w:val="20"/>
                <w:lang w:val="fr-FR"/>
              </w:rPr>
              <w:t>2.1.1)</w:t>
            </w:r>
          </w:p>
          <w:p w14:paraId="4A7C0F81" w14:textId="39CA0CDC" w:rsidR="00151E80" w:rsidRPr="00BD3D80" w:rsidRDefault="00151E80" w:rsidP="00151E80">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Nombre de processus de formulation de politiques ou de plans infranationaux ayant utilisé l</w:t>
            </w:r>
            <w:r w:rsidR="002C54BD">
              <w:rPr>
                <w:rFonts w:eastAsia="Times New Roman" w:cstheme="majorHAnsi"/>
                <w:sz w:val="20"/>
                <w:szCs w:val="20"/>
                <w:lang w:val="fr-FR"/>
              </w:rPr>
              <w:t>’</w:t>
            </w:r>
            <w:r>
              <w:rPr>
                <w:rFonts w:eastAsia="Times New Roman" w:cstheme="majorHAnsi"/>
                <w:sz w:val="20"/>
                <w:szCs w:val="20"/>
                <w:lang w:val="fr-FR"/>
              </w:rPr>
              <w:t xml:space="preserve">analyse budgétaire effectuée par les ASC, soit </w:t>
            </w:r>
            <w:r w:rsidR="00496FB9">
              <w:rPr>
                <w:rFonts w:eastAsia="Times New Roman" w:cstheme="majorHAnsi"/>
                <w:sz w:val="20"/>
                <w:szCs w:val="20"/>
                <w:lang w:val="fr-FR"/>
              </w:rPr>
              <w:t>en</w:t>
            </w:r>
            <w:r>
              <w:rPr>
                <w:rFonts w:eastAsia="Times New Roman" w:cstheme="majorHAnsi"/>
                <w:sz w:val="20"/>
                <w:szCs w:val="20"/>
                <w:lang w:val="fr-FR"/>
              </w:rPr>
              <w:t xml:space="preserve"> complément, soit en tant que contribution </w:t>
            </w:r>
            <w:r>
              <w:rPr>
                <w:rFonts w:eastAsia="Times New Roman" w:cstheme="majorHAnsi"/>
                <w:color w:val="ED7D31" w:themeColor="accent2"/>
                <w:sz w:val="20"/>
                <w:szCs w:val="20"/>
                <w:lang w:val="fr-FR"/>
              </w:rPr>
              <w:t>(</w:t>
            </w:r>
            <w:r w:rsidR="00BB74DB">
              <w:rPr>
                <w:rFonts w:eastAsia="Times New Roman" w:cstheme="majorHAnsi"/>
                <w:color w:val="ED7D31" w:themeColor="accent2"/>
                <w:sz w:val="20"/>
                <w:szCs w:val="20"/>
                <w:lang w:val="fr-FR"/>
              </w:rPr>
              <w:t>fonds communs</w:t>
            </w:r>
            <w:r>
              <w:rPr>
                <w:rFonts w:eastAsia="Times New Roman" w:cstheme="majorHAnsi"/>
                <w:color w:val="ED7D31" w:themeColor="accent2"/>
                <w:sz w:val="20"/>
                <w:szCs w:val="20"/>
                <w:lang w:val="fr-FR"/>
              </w:rPr>
              <w:t xml:space="preserve"> </w:t>
            </w:r>
            <w:r w:rsidR="00496FB9">
              <w:rPr>
                <w:rFonts w:eastAsia="Times New Roman" w:cstheme="majorHAnsi"/>
                <w:color w:val="ED7D31" w:themeColor="accent2"/>
                <w:sz w:val="20"/>
                <w:szCs w:val="20"/>
                <w:lang w:val="fr-FR"/>
              </w:rPr>
              <w:t>P</w:t>
            </w:r>
            <w:r>
              <w:rPr>
                <w:rFonts w:eastAsia="Times New Roman" w:cstheme="majorHAnsi"/>
                <w:color w:val="ED7D31" w:themeColor="accent2"/>
                <w:sz w:val="20"/>
                <w:szCs w:val="20"/>
                <w:lang w:val="fr-FR"/>
              </w:rPr>
              <w:t>roduit</w:t>
            </w:r>
            <w:r w:rsidR="002C54BD">
              <w:rPr>
                <w:rFonts w:eastAsia="Times New Roman" w:cstheme="majorHAnsi"/>
                <w:color w:val="ED7D31" w:themeColor="accent2"/>
                <w:sz w:val="20"/>
                <w:szCs w:val="20"/>
                <w:lang w:val="fr-FR"/>
              </w:rPr>
              <w:t> </w:t>
            </w:r>
            <w:r>
              <w:rPr>
                <w:rFonts w:eastAsia="Times New Roman" w:cstheme="majorHAnsi"/>
                <w:color w:val="ED7D31" w:themeColor="accent2"/>
                <w:sz w:val="20"/>
                <w:szCs w:val="20"/>
                <w:lang w:val="fr-FR"/>
              </w:rPr>
              <w:t>2.1.1)</w:t>
            </w:r>
          </w:p>
        </w:tc>
      </w:tr>
      <w:tr w:rsidR="00E07158" w:rsidRPr="00880085" w14:paraId="3A5BFCD0" w14:textId="77777777" w:rsidTr="00B53EAE">
        <w:trPr>
          <w:trHeight w:val="323"/>
          <w:jc w:val="center"/>
        </w:trPr>
        <w:tc>
          <w:tcPr>
            <w:tcW w:w="232" w:type="pct"/>
            <w:vMerge/>
            <w:tcBorders>
              <w:left w:val="single" w:sz="4" w:space="0" w:color="auto"/>
              <w:right w:val="single" w:sz="4" w:space="0" w:color="auto"/>
            </w:tcBorders>
            <w:shd w:val="clear" w:color="auto" w:fill="auto"/>
          </w:tcPr>
          <w:p w14:paraId="0115DD55" w14:textId="77777777" w:rsidR="00E07158" w:rsidRPr="00BD3D80" w:rsidRDefault="00E07158" w:rsidP="005E526B">
            <w:pPr>
              <w:tabs>
                <w:tab w:val="left" w:pos="6225"/>
              </w:tabs>
              <w:spacing w:after="0" w:line="240" w:lineRule="auto"/>
              <w:rPr>
                <w:rFonts w:eastAsia="Times New Roman" w:cstheme="majorHAnsi"/>
                <w:sz w:val="20"/>
                <w:szCs w:val="20"/>
                <w:lang w:val="fr-FR"/>
              </w:rPr>
            </w:pPr>
          </w:p>
        </w:tc>
        <w:tc>
          <w:tcPr>
            <w:tcW w:w="2267" w:type="pct"/>
            <w:tcBorders>
              <w:top w:val="nil"/>
              <w:left w:val="single" w:sz="4" w:space="0" w:color="auto"/>
              <w:bottom w:val="single" w:sz="4" w:space="0" w:color="auto"/>
              <w:right w:val="single" w:sz="4" w:space="0" w:color="auto"/>
            </w:tcBorders>
          </w:tcPr>
          <w:p w14:paraId="3ED8BC21" w14:textId="38E9B89C" w:rsidR="00E07158" w:rsidRPr="00BD3D80" w:rsidRDefault="00354CE4" w:rsidP="005E526B">
            <w:pPr>
              <w:tabs>
                <w:tab w:val="left" w:pos="6225"/>
              </w:tabs>
              <w:spacing w:after="0" w:line="240" w:lineRule="auto"/>
              <w:rPr>
                <w:rFonts w:eastAsia="Times New Roman" w:cstheme="majorHAnsi"/>
                <w:sz w:val="20"/>
                <w:szCs w:val="20"/>
                <w:lang w:val="fr-FR"/>
              </w:rPr>
            </w:pPr>
            <w:r>
              <w:rPr>
                <w:sz w:val="20"/>
                <w:szCs w:val="20"/>
                <w:lang w:val="fr-FR"/>
              </w:rPr>
              <w:t xml:space="preserve">2.1.4 Ensemble de données et études de cas recueillies pour recenser, constater et chiffrer le coût des mesures nutritionnelles à fort impact </w:t>
            </w:r>
          </w:p>
          <w:p w14:paraId="1BB604F3" w14:textId="77777777" w:rsidR="00E07158" w:rsidRPr="00BD3D80" w:rsidRDefault="00E07158" w:rsidP="005E526B">
            <w:pPr>
              <w:tabs>
                <w:tab w:val="left" w:pos="6225"/>
              </w:tabs>
              <w:spacing w:after="0" w:line="240" w:lineRule="auto"/>
              <w:rPr>
                <w:rFonts w:eastAsia="Times New Roman" w:cstheme="majorHAnsi"/>
                <w:sz w:val="20"/>
                <w:szCs w:val="20"/>
                <w:lang w:val="fr-FR"/>
              </w:rPr>
            </w:pPr>
            <w:r>
              <w:rPr>
                <w:rFonts w:eastAsia="Times New Roman" w:cstheme="majorHAnsi"/>
                <w:sz w:val="20"/>
                <w:szCs w:val="20"/>
                <w:lang w:val="fr-FR"/>
              </w:rPr>
              <w:t xml:space="preserve"> </w:t>
            </w:r>
          </w:p>
          <w:p w14:paraId="30E89DBE" w14:textId="77777777" w:rsidR="00E07158" w:rsidRPr="00BD3D80" w:rsidRDefault="00E07158" w:rsidP="005E526B">
            <w:pPr>
              <w:tabs>
                <w:tab w:val="left" w:pos="6225"/>
              </w:tabs>
              <w:spacing w:after="0" w:line="240" w:lineRule="auto"/>
              <w:rPr>
                <w:rFonts w:eastAsia="Times New Roman" w:cstheme="majorHAnsi"/>
                <w:sz w:val="20"/>
                <w:szCs w:val="20"/>
                <w:lang w:val="fr-FR"/>
              </w:rPr>
            </w:pPr>
          </w:p>
        </w:tc>
        <w:tc>
          <w:tcPr>
            <w:tcW w:w="2501" w:type="pct"/>
            <w:tcBorders>
              <w:top w:val="nil"/>
              <w:left w:val="single" w:sz="4" w:space="0" w:color="auto"/>
              <w:bottom w:val="single" w:sz="4" w:space="0" w:color="auto"/>
              <w:right w:val="single" w:sz="4" w:space="0" w:color="auto"/>
            </w:tcBorders>
          </w:tcPr>
          <w:p w14:paraId="66F85617" w14:textId="5F8871CB" w:rsidR="00E07158" w:rsidRPr="00BD3D80" w:rsidRDefault="00E07158" w:rsidP="00354CE4">
            <w:pPr>
              <w:pStyle w:val="ListParagraph"/>
              <w:numPr>
                <w:ilvl w:val="0"/>
                <w:numId w:val="18"/>
              </w:numPr>
              <w:tabs>
                <w:tab w:val="left" w:pos="6225"/>
              </w:tabs>
              <w:spacing w:after="0" w:line="240" w:lineRule="auto"/>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ensembles de données (par thème)</w:t>
            </w:r>
          </w:p>
          <w:p w14:paraId="600BA8EA" w14:textId="72D51418" w:rsidR="00E07158" w:rsidRPr="00BD3D80" w:rsidRDefault="00E07158" w:rsidP="00354CE4">
            <w:pPr>
              <w:pStyle w:val="ListParagraph"/>
              <w:numPr>
                <w:ilvl w:val="0"/>
                <w:numId w:val="18"/>
              </w:numPr>
              <w:tabs>
                <w:tab w:val="left" w:pos="6225"/>
              </w:tabs>
              <w:spacing w:after="0" w:line="240" w:lineRule="auto"/>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études de cas (et thème)</w:t>
            </w:r>
          </w:p>
        </w:tc>
      </w:tr>
      <w:tr w:rsidR="00E07158" w:rsidRPr="00880085" w14:paraId="233B8463" w14:textId="77777777" w:rsidTr="00B53EAE">
        <w:trPr>
          <w:trHeight w:val="271"/>
          <w:jc w:val="center"/>
        </w:trPr>
        <w:tc>
          <w:tcPr>
            <w:tcW w:w="232" w:type="pct"/>
            <w:vMerge/>
            <w:tcBorders>
              <w:left w:val="single" w:sz="4" w:space="0" w:color="auto"/>
              <w:right w:val="single" w:sz="4" w:space="0" w:color="auto"/>
            </w:tcBorders>
            <w:shd w:val="clear" w:color="auto" w:fill="auto"/>
            <w:vAlign w:val="center"/>
          </w:tcPr>
          <w:p w14:paraId="75FE8F4D"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single" w:sz="4" w:space="0" w:color="auto"/>
              <w:left w:val="single" w:sz="4" w:space="0" w:color="auto"/>
              <w:bottom w:val="single" w:sz="4" w:space="0" w:color="auto"/>
              <w:right w:val="single" w:sz="4" w:space="0" w:color="auto"/>
            </w:tcBorders>
            <w:vAlign w:val="center"/>
          </w:tcPr>
          <w:p w14:paraId="41CC71B6" w14:textId="47A50BD9" w:rsidR="00E07158" w:rsidRPr="00BD3D80" w:rsidRDefault="00354CE4" w:rsidP="005E526B">
            <w:pPr>
              <w:spacing w:after="0" w:line="240" w:lineRule="auto"/>
              <w:rPr>
                <w:rFonts w:eastAsia="Times New Roman" w:cstheme="majorHAnsi"/>
                <w:sz w:val="20"/>
                <w:szCs w:val="20"/>
                <w:lang w:val="fr-FR"/>
              </w:rPr>
            </w:pPr>
            <w:r>
              <w:rPr>
                <w:sz w:val="20"/>
                <w:szCs w:val="20"/>
                <w:lang w:val="fr-FR"/>
              </w:rPr>
              <w:t>2.1.5 Les parlementaires se sont réunis et ont reçu les résultats de l</w:t>
            </w:r>
            <w:r w:rsidR="002C54BD">
              <w:rPr>
                <w:sz w:val="20"/>
                <w:szCs w:val="20"/>
                <w:lang w:val="fr-FR"/>
              </w:rPr>
              <w:t>’</w:t>
            </w:r>
            <w:r>
              <w:rPr>
                <w:sz w:val="20"/>
                <w:szCs w:val="20"/>
                <w:lang w:val="fr-FR"/>
              </w:rPr>
              <w:t>analyse budgétaire et des recommandations fondées sur des données probantes</w:t>
            </w:r>
          </w:p>
          <w:p w14:paraId="5B332CF4" w14:textId="77777777" w:rsidR="00E07158" w:rsidRPr="00BD3D80" w:rsidRDefault="00E07158" w:rsidP="005E526B">
            <w:pPr>
              <w:spacing w:after="0" w:line="240" w:lineRule="auto"/>
              <w:rPr>
                <w:rFonts w:eastAsia="Times New Roman" w:cstheme="majorHAnsi"/>
                <w:sz w:val="20"/>
                <w:szCs w:val="20"/>
                <w:lang w:val="fr-FR"/>
              </w:rPr>
            </w:pPr>
          </w:p>
          <w:p w14:paraId="555084AD" w14:textId="77777777" w:rsidR="00E07158" w:rsidRPr="00BD3D80" w:rsidRDefault="00E07158" w:rsidP="005E526B">
            <w:pPr>
              <w:spacing w:after="0" w:line="240" w:lineRule="auto"/>
              <w:rPr>
                <w:rFonts w:eastAsia="Times New Roman" w:cstheme="majorHAnsi"/>
                <w:sz w:val="20"/>
                <w:szCs w:val="20"/>
                <w:lang w:val="fr-FR"/>
              </w:rPr>
            </w:pPr>
          </w:p>
        </w:tc>
        <w:tc>
          <w:tcPr>
            <w:tcW w:w="2501" w:type="pct"/>
            <w:tcBorders>
              <w:top w:val="single" w:sz="4" w:space="0" w:color="auto"/>
              <w:left w:val="single" w:sz="4" w:space="0" w:color="auto"/>
              <w:bottom w:val="single" w:sz="4" w:space="0" w:color="auto"/>
              <w:right w:val="single" w:sz="4" w:space="0" w:color="auto"/>
            </w:tcBorders>
          </w:tcPr>
          <w:p w14:paraId="0CFEBA3E" w14:textId="77777777"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Nombre de parlementaires rencontrés et ayant reçu des éléments de preuves (ventilés par sexe et au niveau national et infranational)</w:t>
            </w:r>
          </w:p>
        </w:tc>
      </w:tr>
      <w:tr w:rsidR="00E07158" w:rsidRPr="00880085" w14:paraId="4C13C04E" w14:textId="77777777" w:rsidTr="00B53EAE">
        <w:trPr>
          <w:trHeight w:val="263"/>
          <w:jc w:val="center"/>
        </w:trPr>
        <w:tc>
          <w:tcPr>
            <w:tcW w:w="232" w:type="pct"/>
            <w:vMerge/>
            <w:tcBorders>
              <w:left w:val="single" w:sz="4" w:space="0" w:color="auto"/>
              <w:right w:val="single" w:sz="4" w:space="0" w:color="auto"/>
            </w:tcBorders>
            <w:shd w:val="clear" w:color="auto" w:fill="auto"/>
            <w:vAlign w:val="center"/>
          </w:tcPr>
          <w:p w14:paraId="3D5295B8"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single" w:sz="4" w:space="0" w:color="auto"/>
              <w:left w:val="single" w:sz="4" w:space="0" w:color="auto"/>
              <w:bottom w:val="single" w:sz="4" w:space="0" w:color="auto"/>
              <w:right w:val="single" w:sz="4" w:space="0" w:color="auto"/>
            </w:tcBorders>
            <w:vAlign w:val="center"/>
          </w:tcPr>
          <w:p w14:paraId="3FA27C2C" w14:textId="079123B8" w:rsidR="00E07158" w:rsidRPr="00BD3D80" w:rsidRDefault="00354CE4" w:rsidP="005E526B">
            <w:pPr>
              <w:spacing w:after="0" w:line="240" w:lineRule="auto"/>
              <w:rPr>
                <w:rFonts w:eastAsia="Times New Roman" w:cstheme="majorHAnsi"/>
                <w:color w:val="808080" w:themeColor="background1" w:themeShade="80"/>
                <w:sz w:val="20"/>
                <w:szCs w:val="20"/>
                <w:lang w:val="fr-FR"/>
              </w:rPr>
            </w:pPr>
            <w:r>
              <w:rPr>
                <w:sz w:val="20"/>
                <w:szCs w:val="20"/>
                <w:lang w:val="fr-FR"/>
              </w:rPr>
              <w:t>2.1.6 Entreprendre une intervention de plaidoyer budgétaire des ASC pendant tout le cycle budgétaire</w:t>
            </w:r>
          </w:p>
        </w:tc>
        <w:tc>
          <w:tcPr>
            <w:tcW w:w="2501" w:type="pct"/>
            <w:tcBorders>
              <w:top w:val="single" w:sz="4" w:space="0" w:color="auto"/>
              <w:left w:val="single" w:sz="4" w:space="0" w:color="auto"/>
              <w:bottom w:val="single" w:sz="4" w:space="0" w:color="auto"/>
              <w:right w:val="single" w:sz="4" w:space="0" w:color="auto"/>
            </w:tcBorders>
          </w:tcPr>
          <w:p w14:paraId="57827881" w14:textId="58C61822"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 xml:space="preserve">Nombre de produits de plaidoyer budgétaires </w:t>
            </w:r>
            <w:r w:rsidR="00496FB9">
              <w:rPr>
                <w:rFonts w:eastAsia="Times New Roman" w:cstheme="majorHAnsi"/>
                <w:sz w:val="20"/>
                <w:szCs w:val="20"/>
                <w:lang w:val="fr-FR"/>
              </w:rPr>
              <w:t>élaborés</w:t>
            </w:r>
          </w:p>
          <w:p w14:paraId="722495A1" w14:textId="77777777"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Nombre de personnes participant à des événements de plaidoyer budgétaire (ventilation par sexe et au niveau national et infranational et par type, par exemple, décideurs politiques, journalistes, citoyens, etc.)</w:t>
            </w:r>
          </w:p>
          <w:p w14:paraId="4355C282" w14:textId="074A0A24" w:rsidR="001C136D" w:rsidRPr="00BD3D80" w:rsidRDefault="001C136D"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 xml:space="preserve">événements (nationaux ou infranationaux) avec partage/suivi/célébration des engagements en matière de nutrition </w:t>
            </w:r>
            <w:r w:rsidR="00496FB9">
              <w:rPr>
                <w:rFonts w:eastAsia="Times New Roman" w:cstheme="majorHAnsi"/>
                <w:sz w:val="20"/>
                <w:szCs w:val="20"/>
                <w:lang w:val="fr-FR"/>
              </w:rPr>
              <w:t>avec le</w:t>
            </w:r>
            <w:r>
              <w:rPr>
                <w:rFonts w:eastAsia="Times New Roman" w:cstheme="majorHAnsi"/>
                <w:sz w:val="20"/>
                <w:szCs w:val="20"/>
                <w:lang w:val="fr-FR"/>
              </w:rPr>
              <w:t xml:space="preserve"> public</w:t>
            </w:r>
          </w:p>
        </w:tc>
      </w:tr>
      <w:tr w:rsidR="00E07158" w:rsidRPr="00880085" w14:paraId="49A27FF1" w14:textId="77777777" w:rsidTr="00B53EAE">
        <w:trPr>
          <w:trHeight w:val="293"/>
          <w:jc w:val="center"/>
        </w:trPr>
        <w:tc>
          <w:tcPr>
            <w:tcW w:w="232" w:type="pct"/>
            <w:vMerge/>
            <w:tcBorders>
              <w:left w:val="single" w:sz="4" w:space="0" w:color="auto"/>
              <w:bottom w:val="single" w:sz="4" w:space="0" w:color="auto"/>
              <w:right w:val="single" w:sz="4" w:space="0" w:color="auto"/>
            </w:tcBorders>
            <w:shd w:val="clear" w:color="auto" w:fill="auto"/>
            <w:vAlign w:val="center"/>
          </w:tcPr>
          <w:p w14:paraId="2CC54A54"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single" w:sz="4" w:space="0" w:color="auto"/>
              <w:left w:val="single" w:sz="4" w:space="0" w:color="auto"/>
              <w:bottom w:val="single" w:sz="4" w:space="0" w:color="auto"/>
              <w:right w:val="single" w:sz="4" w:space="0" w:color="auto"/>
            </w:tcBorders>
            <w:vAlign w:val="center"/>
          </w:tcPr>
          <w:p w14:paraId="27C131C3" w14:textId="51C715DA" w:rsidR="00E07158" w:rsidRPr="00BD3D80" w:rsidRDefault="00354CE4" w:rsidP="005E526B">
            <w:pPr>
              <w:spacing w:after="0" w:line="240" w:lineRule="auto"/>
              <w:rPr>
                <w:rFonts w:eastAsia="Times New Roman" w:cstheme="majorHAnsi"/>
                <w:sz w:val="20"/>
                <w:szCs w:val="20"/>
                <w:lang w:val="fr-FR"/>
              </w:rPr>
            </w:pPr>
            <w:r>
              <w:rPr>
                <w:sz w:val="20"/>
                <w:szCs w:val="20"/>
                <w:lang w:val="fr-FR"/>
              </w:rPr>
              <w:t>2.1.7 Les engagements en matière de nutrition sont rappelés et célébrés en public</w:t>
            </w:r>
          </w:p>
          <w:p w14:paraId="399ED6FD" w14:textId="77777777" w:rsidR="00E07158" w:rsidRPr="00BD3D80" w:rsidRDefault="00E07158" w:rsidP="005E526B">
            <w:pPr>
              <w:spacing w:after="0" w:line="240" w:lineRule="auto"/>
              <w:rPr>
                <w:rFonts w:eastAsia="Times New Roman" w:cstheme="majorHAnsi"/>
                <w:sz w:val="20"/>
                <w:szCs w:val="20"/>
                <w:lang w:val="fr-FR"/>
              </w:rPr>
            </w:pPr>
          </w:p>
        </w:tc>
        <w:tc>
          <w:tcPr>
            <w:tcW w:w="2501" w:type="pct"/>
            <w:tcBorders>
              <w:top w:val="single" w:sz="4" w:space="0" w:color="auto"/>
              <w:left w:val="single" w:sz="4" w:space="0" w:color="auto"/>
              <w:bottom w:val="single" w:sz="4" w:space="0" w:color="auto"/>
              <w:right w:val="single" w:sz="4" w:space="0" w:color="auto"/>
            </w:tcBorders>
          </w:tcPr>
          <w:p w14:paraId="2F9FA72D" w14:textId="77777777"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Nombre de personnes participant aux événements publics</w:t>
            </w:r>
          </w:p>
          <w:p w14:paraId="32E656F3" w14:textId="35A9A9C4"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Nombre de décideurs politiques répondant/participant à ces événements</w:t>
            </w:r>
          </w:p>
        </w:tc>
      </w:tr>
      <w:tr w:rsidR="00E07158" w:rsidRPr="00880085" w14:paraId="02E2357E" w14:textId="77777777" w:rsidTr="00B53EAE">
        <w:trPr>
          <w:trHeight w:val="293"/>
          <w:jc w:val="center"/>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A132E51"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single" w:sz="4" w:space="0" w:color="auto"/>
              <w:left w:val="single" w:sz="4" w:space="0" w:color="auto"/>
              <w:bottom w:val="single" w:sz="4" w:space="0" w:color="auto"/>
              <w:right w:val="single" w:sz="4" w:space="0" w:color="auto"/>
            </w:tcBorders>
            <w:vAlign w:val="center"/>
          </w:tcPr>
          <w:p w14:paraId="4CE4DD99" w14:textId="77777777" w:rsidR="00E07158" w:rsidRPr="00BD3D80" w:rsidRDefault="00E07158" w:rsidP="005E526B">
            <w:pPr>
              <w:spacing w:after="0" w:line="240" w:lineRule="auto"/>
              <w:rPr>
                <w:rFonts w:eastAsia="Times New Roman" w:cstheme="majorHAnsi"/>
                <w:sz w:val="20"/>
                <w:szCs w:val="20"/>
                <w:lang w:val="fr-FR"/>
              </w:rPr>
            </w:pPr>
          </w:p>
        </w:tc>
        <w:tc>
          <w:tcPr>
            <w:tcW w:w="2501" w:type="pct"/>
            <w:tcBorders>
              <w:top w:val="single" w:sz="4" w:space="0" w:color="auto"/>
              <w:left w:val="single" w:sz="4" w:space="0" w:color="auto"/>
              <w:bottom w:val="single" w:sz="4" w:space="0" w:color="auto"/>
              <w:right w:val="single" w:sz="4" w:space="0" w:color="auto"/>
            </w:tcBorders>
          </w:tcPr>
          <w:p w14:paraId="0316204F" w14:textId="77777777" w:rsidR="00E07158" w:rsidRPr="00BD3D80" w:rsidRDefault="00E07158" w:rsidP="00354CE4">
            <w:pPr>
              <w:spacing w:after="0" w:line="240" w:lineRule="auto"/>
              <w:rPr>
                <w:rFonts w:eastAsia="Times New Roman" w:cstheme="majorHAnsi"/>
                <w:sz w:val="20"/>
                <w:szCs w:val="20"/>
                <w:lang w:val="fr-FR"/>
              </w:rPr>
            </w:pPr>
          </w:p>
        </w:tc>
      </w:tr>
      <w:tr w:rsidR="00E07158" w:rsidRPr="00880085" w14:paraId="1EA5F7C0" w14:textId="77777777" w:rsidTr="00B53EAE">
        <w:trPr>
          <w:trHeight w:val="2399"/>
          <w:jc w:val="center"/>
        </w:trPr>
        <w:tc>
          <w:tcPr>
            <w:tcW w:w="232" w:type="pct"/>
            <w:vMerge w:val="restart"/>
            <w:tcBorders>
              <w:top w:val="single" w:sz="4" w:space="0" w:color="auto"/>
              <w:left w:val="single" w:sz="4" w:space="0" w:color="auto"/>
              <w:right w:val="single" w:sz="4" w:space="0" w:color="auto"/>
            </w:tcBorders>
            <w:shd w:val="clear" w:color="auto" w:fill="auto"/>
            <w:textDirection w:val="btLr"/>
          </w:tcPr>
          <w:p w14:paraId="3B2ADE7F" w14:textId="43A2828D" w:rsidR="00E07158" w:rsidRPr="00354CE4" w:rsidRDefault="00E07158" w:rsidP="005E526B">
            <w:pPr>
              <w:spacing w:after="0" w:line="240" w:lineRule="auto"/>
              <w:ind w:left="113" w:right="113"/>
              <w:jc w:val="center"/>
              <w:rPr>
                <w:rFonts w:eastAsia="Times New Roman" w:cstheme="majorHAnsi"/>
                <w:b/>
                <w:sz w:val="20"/>
                <w:szCs w:val="20"/>
              </w:rPr>
            </w:pPr>
            <w:r>
              <w:rPr>
                <w:rFonts w:eastAsia="Times New Roman" w:cstheme="majorHAnsi"/>
                <w:b/>
                <w:bCs/>
                <w:sz w:val="20"/>
                <w:szCs w:val="20"/>
                <w:lang w:val="fr-FR"/>
              </w:rPr>
              <w:lastRenderedPageBreak/>
              <w:t>Résultat intermédiaire</w:t>
            </w:r>
            <w:r w:rsidR="002C54BD">
              <w:rPr>
                <w:rFonts w:eastAsia="Times New Roman" w:cstheme="majorHAnsi"/>
                <w:b/>
                <w:bCs/>
                <w:sz w:val="20"/>
                <w:szCs w:val="20"/>
                <w:lang w:val="fr-FR"/>
              </w:rPr>
              <w:t> </w:t>
            </w:r>
            <w:r>
              <w:rPr>
                <w:rFonts w:eastAsia="Times New Roman" w:cstheme="majorHAnsi"/>
                <w:b/>
                <w:bCs/>
                <w:sz w:val="20"/>
                <w:szCs w:val="20"/>
                <w:lang w:val="fr-FR"/>
              </w:rPr>
              <w:t>2.2</w:t>
            </w:r>
          </w:p>
        </w:tc>
        <w:tc>
          <w:tcPr>
            <w:tcW w:w="2267" w:type="pct"/>
            <w:tcBorders>
              <w:top w:val="single" w:sz="4" w:space="0" w:color="auto"/>
              <w:left w:val="single" w:sz="4" w:space="0" w:color="auto"/>
              <w:bottom w:val="single" w:sz="4" w:space="0" w:color="auto"/>
              <w:right w:val="single" w:sz="4" w:space="0" w:color="auto"/>
            </w:tcBorders>
          </w:tcPr>
          <w:p w14:paraId="76A66FB1" w14:textId="73860363" w:rsidR="00E07158" w:rsidRPr="00BD3D80" w:rsidRDefault="00E07158" w:rsidP="005E526B">
            <w:pPr>
              <w:spacing w:after="0" w:line="240" w:lineRule="auto"/>
              <w:rPr>
                <w:rFonts w:eastAsia="Times New Roman" w:cstheme="majorHAnsi"/>
                <w:sz w:val="20"/>
                <w:szCs w:val="20"/>
                <w:lang w:val="fr-FR"/>
              </w:rPr>
            </w:pPr>
            <w:r>
              <w:rPr>
                <w:sz w:val="20"/>
                <w:szCs w:val="20"/>
                <w:lang w:val="fr-FR"/>
              </w:rPr>
              <w:t xml:space="preserve">2.2.1 La société civile aide les gouvernements et les partenaires locaux à accéder à des sources de financement innovantes, y compris </w:t>
            </w:r>
            <w:r w:rsidR="00A94EED">
              <w:rPr>
                <w:sz w:val="20"/>
                <w:szCs w:val="20"/>
                <w:lang w:val="fr-FR"/>
              </w:rPr>
              <w:t xml:space="preserve">à </w:t>
            </w:r>
            <w:r>
              <w:rPr>
                <w:sz w:val="20"/>
                <w:szCs w:val="20"/>
                <w:lang w:val="fr-FR"/>
              </w:rPr>
              <w:t>des fonds internationaux tels que le Mécanisme de financement mondial, The Power of Nutrition, les engagements financiers des ONG internationales, etc.</w:t>
            </w:r>
          </w:p>
        </w:tc>
        <w:tc>
          <w:tcPr>
            <w:tcW w:w="2501" w:type="pct"/>
            <w:tcBorders>
              <w:top w:val="single" w:sz="4" w:space="0" w:color="auto"/>
              <w:left w:val="single" w:sz="4" w:space="0" w:color="auto"/>
              <w:bottom w:val="single" w:sz="4" w:space="0" w:color="auto"/>
              <w:right w:val="single" w:sz="4" w:space="0" w:color="auto"/>
            </w:tcBorders>
          </w:tcPr>
          <w:p w14:paraId="6A17CF63" w14:textId="73C0D69F" w:rsidR="00E07158" w:rsidRPr="00BD3D80" w:rsidRDefault="00E07158" w:rsidP="00354CE4">
            <w:pPr>
              <w:pStyle w:val="ListParagraph"/>
              <w:numPr>
                <w:ilvl w:val="0"/>
                <w:numId w:val="18"/>
              </w:numPr>
              <w:tabs>
                <w:tab w:val="left" w:pos="884"/>
                <w:tab w:val="right" w:pos="3294"/>
              </w:tabs>
              <w:spacing w:before="60" w:after="60" w:line="240" w:lineRule="auto"/>
              <w:contextualSpacing w:val="0"/>
              <w:jc w:val="left"/>
              <w:rPr>
                <w:sz w:val="20"/>
                <w:szCs w:val="20"/>
                <w:lang w:val="fr-FR"/>
              </w:rPr>
            </w:pPr>
            <w:r>
              <w:rPr>
                <w:sz w:val="20"/>
                <w:szCs w:val="20"/>
                <w:lang w:val="fr-FR"/>
              </w:rPr>
              <w:t xml:space="preserve">Montant des fonds supplémentaires (nationaux) mobilisés grâce au soutien des ASC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3634124B" w14:textId="575EF884" w:rsidR="0060222F" w:rsidRPr="00BD3D80" w:rsidRDefault="0060222F" w:rsidP="0060222F">
            <w:pPr>
              <w:pStyle w:val="ListParagraph"/>
              <w:numPr>
                <w:ilvl w:val="0"/>
                <w:numId w:val="18"/>
              </w:numPr>
              <w:tabs>
                <w:tab w:val="left" w:pos="884"/>
                <w:tab w:val="right" w:pos="3294"/>
              </w:tabs>
              <w:spacing w:before="60" w:after="60" w:line="240" w:lineRule="auto"/>
              <w:contextualSpacing w:val="0"/>
              <w:jc w:val="left"/>
              <w:rPr>
                <w:sz w:val="20"/>
                <w:szCs w:val="20"/>
                <w:lang w:val="fr-FR"/>
              </w:rPr>
            </w:pPr>
            <w:r>
              <w:rPr>
                <w:sz w:val="20"/>
                <w:szCs w:val="20"/>
                <w:lang w:val="fr-FR"/>
              </w:rPr>
              <w:t xml:space="preserve">Montant des fonds supplémentaires (internationaux) mobilisés grâce au soutien des ASC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2E7BECFF" w14:textId="2B79E42C" w:rsidR="00E07158" w:rsidRPr="00BD3D80" w:rsidRDefault="00E07158" w:rsidP="00354CE4">
            <w:pPr>
              <w:pStyle w:val="ListParagraph"/>
              <w:numPr>
                <w:ilvl w:val="0"/>
                <w:numId w:val="18"/>
              </w:numPr>
              <w:tabs>
                <w:tab w:val="left" w:pos="884"/>
                <w:tab w:val="right" w:pos="3294"/>
              </w:tabs>
              <w:spacing w:before="60" w:after="60" w:line="240" w:lineRule="auto"/>
              <w:contextualSpacing w:val="0"/>
              <w:jc w:val="left"/>
              <w:rPr>
                <w:sz w:val="20"/>
                <w:szCs w:val="20"/>
                <w:lang w:val="fr-FR"/>
              </w:rPr>
            </w:pPr>
            <w:r>
              <w:rPr>
                <w:sz w:val="20"/>
                <w:szCs w:val="20"/>
                <w:lang w:val="fr-FR"/>
              </w:rPr>
              <w:t xml:space="preserve">Estimation des coûts des programmes ou interventions prioritaires (spécifiques ou sensibles à la nutrition)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40A754F3" w14:textId="7805340D" w:rsidR="00E07158" w:rsidRPr="00BD3D80" w:rsidRDefault="00E07158" w:rsidP="0060222F">
            <w:pPr>
              <w:pStyle w:val="ListParagraph"/>
              <w:numPr>
                <w:ilvl w:val="0"/>
                <w:numId w:val="18"/>
              </w:numPr>
              <w:spacing w:after="0" w:line="240" w:lineRule="auto"/>
              <w:rPr>
                <w:rFonts w:eastAsia="Times New Roman" w:cstheme="majorHAnsi"/>
                <w:sz w:val="20"/>
                <w:szCs w:val="20"/>
                <w:lang w:val="fr-FR"/>
              </w:rPr>
            </w:pPr>
            <w:r>
              <w:rPr>
                <w:sz w:val="20"/>
                <w:szCs w:val="20"/>
                <w:lang w:val="fr-FR"/>
              </w:rPr>
              <w:t>Estimations des écarts de financement basées sur l</w:t>
            </w:r>
            <w:r w:rsidR="002C54BD">
              <w:rPr>
                <w:sz w:val="20"/>
                <w:szCs w:val="20"/>
                <w:lang w:val="fr-FR"/>
              </w:rPr>
              <w:t>’</w:t>
            </w:r>
            <w:r>
              <w:rPr>
                <w:sz w:val="20"/>
                <w:szCs w:val="20"/>
                <w:lang w:val="fr-FR"/>
              </w:rPr>
              <w:t>analyse des coûts et des dépenses courantes (</w:t>
            </w:r>
            <w:r w:rsidR="00CD2763">
              <w:rPr>
                <w:sz w:val="20"/>
                <w:szCs w:val="20"/>
                <w:lang w:val="fr-FR"/>
              </w:rPr>
              <w:t xml:space="preserve">ventilation </w:t>
            </w:r>
            <w:r>
              <w:rPr>
                <w:sz w:val="20"/>
                <w:szCs w:val="20"/>
                <w:lang w:val="fr-FR"/>
              </w:rPr>
              <w:t xml:space="preserve">par interventions spécifiques ou sensibles à la nutrition)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633FB8EB" w14:textId="02F382AA" w:rsidR="0060222F" w:rsidRPr="00BD3D80" w:rsidRDefault="0060222F" w:rsidP="0060222F">
            <w:pPr>
              <w:pStyle w:val="ListParagraph"/>
              <w:numPr>
                <w:ilvl w:val="0"/>
                <w:numId w:val="18"/>
              </w:numPr>
              <w:spacing w:after="0" w:line="240" w:lineRule="auto"/>
              <w:rPr>
                <w:rFonts w:eastAsia="Times New Roman" w:cstheme="majorHAnsi"/>
                <w:sz w:val="20"/>
                <w:szCs w:val="20"/>
                <w:lang w:val="fr-FR"/>
              </w:rPr>
            </w:pPr>
            <w:r>
              <w:rPr>
                <w:sz w:val="20"/>
                <w:szCs w:val="20"/>
                <w:lang w:val="fr-FR"/>
              </w:rPr>
              <w:t>Estimations des écarts de financement (en %) basées sur l</w:t>
            </w:r>
            <w:r w:rsidR="002C54BD">
              <w:rPr>
                <w:sz w:val="20"/>
                <w:szCs w:val="20"/>
                <w:lang w:val="fr-FR"/>
              </w:rPr>
              <w:t>’</w:t>
            </w:r>
            <w:r>
              <w:rPr>
                <w:sz w:val="20"/>
                <w:szCs w:val="20"/>
                <w:lang w:val="fr-FR"/>
              </w:rPr>
              <w:t>analyse des coûts et des dépenses courantes (</w:t>
            </w:r>
            <w:r w:rsidR="00CD2763">
              <w:rPr>
                <w:sz w:val="20"/>
                <w:szCs w:val="20"/>
                <w:lang w:val="fr-FR"/>
              </w:rPr>
              <w:t xml:space="preserve">ventilation </w:t>
            </w:r>
            <w:r>
              <w:rPr>
                <w:sz w:val="20"/>
                <w:szCs w:val="20"/>
                <w:lang w:val="fr-FR"/>
              </w:rPr>
              <w:t xml:space="preserve">par interventions spécifiques ou sensibles à la nutrition)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tc>
      </w:tr>
      <w:tr w:rsidR="00E07158" w:rsidRPr="00880085" w14:paraId="2A6B4EDA" w14:textId="77777777" w:rsidTr="00B53EAE">
        <w:trPr>
          <w:trHeight w:val="494"/>
          <w:jc w:val="center"/>
        </w:trPr>
        <w:tc>
          <w:tcPr>
            <w:tcW w:w="232" w:type="pct"/>
            <w:vMerge/>
            <w:tcBorders>
              <w:left w:val="single" w:sz="4" w:space="0" w:color="auto"/>
              <w:right w:val="single" w:sz="4" w:space="0" w:color="auto"/>
            </w:tcBorders>
            <w:shd w:val="clear" w:color="auto" w:fill="auto"/>
          </w:tcPr>
          <w:p w14:paraId="601E3533"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single" w:sz="4" w:space="0" w:color="auto"/>
              <w:left w:val="single" w:sz="4" w:space="0" w:color="auto"/>
              <w:bottom w:val="single" w:sz="4" w:space="0" w:color="auto"/>
              <w:right w:val="single" w:sz="4" w:space="0" w:color="auto"/>
            </w:tcBorders>
          </w:tcPr>
          <w:p w14:paraId="01EBC511" w14:textId="29B9E1EB" w:rsidR="00E07158" w:rsidRPr="00BD3D80" w:rsidRDefault="00354CE4" w:rsidP="005E526B">
            <w:pPr>
              <w:spacing w:after="0" w:line="240" w:lineRule="auto"/>
              <w:rPr>
                <w:rFonts w:eastAsia="Times New Roman" w:cstheme="majorHAnsi"/>
                <w:sz w:val="20"/>
                <w:szCs w:val="20"/>
                <w:lang w:val="fr-FR"/>
              </w:rPr>
            </w:pPr>
            <w:r>
              <w:rPr>
                <w:sz w:val="20"/>
                <w:szCs w:val="20"/>
                <w:lang w:val="fr-FR"/>
              </w:rPr>
              <w:t>2.2.2 Sensibiliser et intéresser davantage les donateurs aux stratégies et priorités nationales en matière de nutrition</w:t>
            </w:r>
          </w:p>
        </w:tc>
        <w:tc>
          <w:tcPr>
            <w:tcW w:w="2501" w:type="pct"/>
            <w:tcBorders>
              <w:top w:val="single" w:sz="4" w:space="0" w:color="auto"/>
              <w:left w:val="single" w:sz="4" w:space="0" w:color="auto"/>
              <w:bottom w:val="single" w:sz="4" w:space="0" w:color="auto"/>
              <w:right w:val="single" w:sz="4" w:space="0" w:color="auto"/>
            </w:tcBorders>
          </w:tcPr>
          <w:p w14:paraId="4CF3C0FE" w14:textId="77777777"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Nombre de donateurs mobilisés et sensibilisés</w:t>
            </w:r>
          </w:p>
          <w:p w14:paraId="3E3FA35F" w14:textId="77777777" w:rsidR="00E07158" w:rsidRPr="00BD3D80" w:rsidRDefault="00E07158" w:rsidP="005E526B">
            <w:pPr>
              <w:spacing w:after="0" w:line="240" w:lineRule="auto"/>
              <w:rPr>
                <w:rFonts w:eastAsia="Times New Roman" w:cstheme="majorHAnsi"/>
                <w:sz w:val="20"/>
                <w:szCs w:val="20"/>
                <w:lang w:val="fr-FR"/>
              </w:rPr>
            </w:pPr>
          </w:p>
        </w:tc>
      </w:tr>
      <w:tr w:rsidR="00E07158" w:rsidRPr="00880085" w14:paraId="72F32D36" w14:textId="77777777" w:rsidTr="00B53EAE">
        <w:trPr>
          <w:trHeight w:val="555"/>
          <w:jc w:val="center"/>
        </w:trPr>
        <w:tc>
          <w:tcPr>
            <w:tcW w:w="232" w:type="pct"/>
            <w:vMerge/>
            <w:tcBorders>
              <w:left w:val="single" w:sz="4" w:space="0" w:color="auto"/>
              <w:right w:val="single" w:sz="4" w:space="0" w:color="auto"/>
            </w:tcBorders>
            <w:shd w:val="clear" w:color="auto" w:fill="auto"/>
          </w:tcPr>
          <w:p w14:paraId="71BCC4C7"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single" w:sz="4" w:space="0" w:color="auto"/>
              <w:left w:val="single" w:sz="4" w:space="0" w:color="auto"/>
              <w:bottom w:val="single" w:sz="4" w:space="0" w:color="auto"/>
              <w:right w:val="single" w:sz="4" w:space="0" w:color="auto"/>
            </w:tcBorders>
          </w:tcPr>
          <w:p w14:paraId="71D60059" w14:textId="39237698" w:rsidR="00E07158" w:rsidRPr="00BD3D80" w:rsidRDefault="00354CE4" w:rsidP="005E526B">
            <w:pPr>
              <w:spacing w:after="0" w:line="240" w:lineRule="auto"/>
              <w:rPr>
                <w:rFonts w:eastAsia="Times New Roman" w:cstheme="majorHAnsi"/>
                <w:sz w:val="20"/>
                <w:szCs w:val="20"/>
                <w:lang w:val="fr-FR"/>
              </w:rPr>
            </w:pPr>
            <w:r>
              <w:rPr>
                <w:rFonts w:eastAsia="Times New Roman" w:cstheme="majorHAnsi"/>
                <w:sz w:val="20"/>
                <w:szCs w:val="20"/>
                <w:lang w:val="fr-FR"/>
              </w:rPr>
              <w:t>2.2.3 Efforts de collaboration et actions intersectorielles entrepris pour veiller à ce que la nutrition fasse partie de l</w:t>
            </w:r>
            <w:r w:rsidR="002C54BD">
              <w:rPr>
                <w:rFonts w:eastAsia="Times New Roman" w:cstheme="majorHAnsi"/>
                <w:sz w:val="20"/>
                <w:szCs w:val="20"/>
                <w:lang w:val="fr-FR"/>
              </w:rPr>
              <w:t>’</w:t>
            </w:r>
            <w:r>
              <w:rPr>
                <w:rFonts w:eastAsia="Times New Roman" w:cstheme="majorHAnsi"/>
                <w:sz w:val="20"/>
                <w:szCs w:val="20"/>
                <w:lang w:val="fr-FR"/>
              </w:rPr>
              <w:t xml:space="preserve">établissement des budgets de développement au sens large et pour préconiser des mécanismes de financement novateurs, par exemple, par le biais de la taxation </w:t>
            </w:r>
          </w:p>
          <w:p w14:paraId="39D8527D" w14:textId="77777777" w:rsidR="00E07158" w:rsidRPr="00BD3D80" w:rsidRDefault="00E07158" w:rsidP="005E526B">
            <w:pPr>
              <w:spacing w:after="0" w:line="240" w:lineRule="auto"/>
              <w:rPr>
                <w:rFonts w:eastAsia="Times New Roman" w:cstheme="majorHAnsi"/>
                <w:sz w:val="20"/>
                <w:szCs w:val="20"/>
                <w:lang w:val="fr-FR"/>
              </w:rPr>
            </w:pPr>
          </w:p>
        </w:tc>
        <w:tc>
          <w:tcPr>
            <w:tcW w:w="2501" w:type="pct"/>
            <w:tcBorders>
              <w:top w:val="single" w:sz="4" w:space="0" w:color="auto"/>
              <w:left w:val="single" w:sz="4" w:space="0" w:color="auto"/>
              <w:bottom w:val="single" w:sz="4" w:space="0" w:color="auto"/>
              <w:right w:val="single" w:sz="4" w:space="0" w:color="auto"/>
            </w:tcBorders>
          </w:tcPr>
          <w:p w14:paraId="3AE15E80" w14:textId="3757892B"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Type d</w:t>
            </w:r>
            <w:r w:rsidR="002C54BD">
              <w:rPr>
                <w:rFonts w:eastAsia="Times New Roman" w:cstheme="majorHAnsi"/>
                <w:sz w:val="20"/>
                <w:szCs w:val="20"/>
                <w:lang w:val="fr-FR"/>
              </w:rPr>
              <w:t>’</w:t>
            </w:r>
            <w:r>
              <w:rPr>
                <w:rFonts w:eastAsia="Times New Roman" w:cstheme="majorHAnsi"/>
                <w:sz w:val="20"/>
                <w:szCs w:val="20"/>
                <w:lang w:val="fr-FR"/>
              </w:rPr>
              <w:t xml:space="preserve">actions entreprises par </w:t>
            </w:r>
            <w:r w:rsidR="00A94EED">
              <w:rPr>
                <w:rFonts w:eastAsia="Times New Roman" w:cstheme="majorHAnsi"/>
                <w:sz w:val="20"/>
                <w:szCs w:val="20"/>
                <w:lang w:val="fr-FR"/>
              </w:rPr>
              <w:t>n</w:t>
            </w:r>
            <w:r>
              <w:rPr>
                <w:rFonts w:eastAsia="Times New Roman" w:cstheme="majorHAnsi"/>
                <w:sz w:val="20"/>
                <w:szCs w:val="20"/>
                <w:lang w:val="fr-FR"/>
              </w:rPr>
              <w:t xml:space="preserve">ombre de partenaires </w:t>
            </w:r>
            <w:r w:rsidR="00E979B9">
              <w:rPr>
                <w:rFonts w:eastAsia="Times New Roman" w:cstheme="majorHAnsi"/>
                <w:sz w:val="20"/>
                <w:szCs w:val="20"/>
                <w:lang w:val="fr-FR"/>
              </w:rPr>
              <w:t>dans tous les secteurs</w:t>
            </w:r>
            <w:r>
              <w:rPr>
                <w:rFonts w:eastAsia="Times New Roman" w:cstheme="majorHAnsi"/>
                <w:sz w:val="20"/>
                <w:szCs w:val="20"/>
                <w:lang w:val="fr-FR"/>
              </w:rPr>
              <w:t xml:space="preserve"> (ventilées par type d</w:t>
            </w:r>
            <w:r w:rsidR="002C54BD">
              <w:rPr>
                <w:rFonts w:eastAsia="Times New Roman" w:cstheme="majorHAnsi"/>
                <w:sz w:val="20"/>
                <w:szCs w:val="20"/>
                <w:lang w:val="fr-FR"/>
              </w:rPr>
              <w:t>’</w:t>
            </w:r>
            <w:r>
              <w:rPr>
                <w:rFonts w:eastAsia="Times New Roman" w:cstheme="majorHAnsi"/>
                <w:sz w:val="20"/>
                <w:szCs w:val="20"/>
                <w:lang w:val="fr-FR"/>
              </w:rPr>
              <w:t>action/ type d</w:t>
            </w:r>
            <w:r w:rsidR="002C54BD">
              <w:rPr>
                <w:rFonts w:eastAsia="Times New Roman" w:cstheme="majorHAnsi"/>
                <w:sz w:val="20"/>
                <w:szCs w:val="20"/>
                <w:lang w:val="fr-FR"/>
              </w:rPr>
              <w:t>’</w:t>
            </w:r>
            <w:r>
              <w:rPr>
                <w:rFonts w:eastAsia="Times New Roman" w:cstheme="majorHAnsi"/>
                <w:sz w:val="20"/>
                <w:szCs w:val="20"/>
                <w:lang w:val="fr-FR"/>
              </w:rPr>
              <w:t>organisation/ par secteur, par exemple nombre de partenaires travaillant sur la taxation)</w:t>
            </w:r>
          </w:p>
        </w:tc>
      </w:tr>
      <w:tr w:rsidR="00E07158" w:rsidRPr="00880085" w14:paraId="79BED006" w14:textId="77777777" w:rsidTr="00B53EAE">
        <w:trPr>
          <w:trHeight w:val="421"/>
          <w:jc w:val="center"/>
        </w:trPr>
        <w:tc>
          <w:tcPr>
            <w:tcW w:w="232" w:type="pct"/>
            <w:vMerge/>
            <w:tcBorders>
              <w:left w:val="single" w:sz="4" w:space="0" w:color="auto"/>
              <w:right w:val="single" w:sz="4" w:space="0" w:color="auto"/>
            </w:tcBorders>
            <w:shd w:val="clear" w:color="auto" w:fill="auto"/>
          </w:tcPr>
          <w:p w14:paraId="761A7337"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single" w:sz="4" w:space="0" w:color="auto"/>
              <w:left w:val="single" w:sz="4" w:space="0" w:color="auto"/>
              <w:bottom w:val="single" w:sz="4" w:space="0" w:color="auto"/>
              <w:right w:val="single" w:sz="4" w:space="0" w:color="auto"/>
            </w:tcBorders>
          </w:tcPr>
          <w:p w14:paraId="6FC2F5E5" w14:textId="34B9FB23" w:rsidR="00E07158" w:rsidRPr="00BD3D80" w:rsidRDefault="00354CE4" w:rsidP="005E526B">
            <w:pPr>
              <w:spacing w:after="0" w:line="240" w:lineRule="auto"/>
              <w:rPr>
                <w:rFonts w:eastAsia="Times New Roman" w:cstheme="majorHAnsi"/>
                <w:sz w:val="20"/>
                <w:szCs w:val="20"/>
                <w:lang w:val="fr-FR"/>
              </w:rPr>
            </w:pPr>
            <w:r>
              <w:rPr>
                <w:rFonts w:eastAsia="Times New Roman" w:cstheme="majorHAnsi"/>
                <w:sz w:val="20"/>
                <w:szCs w:val="20"/>
                <w:lang w:val="fr-FR"/>
              </w:rPr>
              <w:t>2.2.4 Efforts de collaboration et actions intersectorielles pour plaider en faveur de réformes de financement, p. ex. accroître les dépenses publiques de santé, instaurer la couverture sanitaire universelle</w:t>
            </w:r>
          </w:p>
        </w:tc>
        <w:tc>
          <w:tcPr>
            <w:tcW w:w="2501" w:type="pct"/>
            <w:tcBorders>
              <w:top w:val="single" w:sz="4" w:space="0" w:color="auto"/>
              <w:left w:val="single" w:sz="4" w:space="0" w:color="auto"/>
              <w:bottom w:val="single" w:sz="4" w:space="0" w:color="auto"/>
              <w:right w:val="single" w:sz="4" w:space="0" w:color="auto"/>
            </w:tcBorders>
          </w:tcPr>
          <w:p w14:paraId="25604835" w14:textId="77777777"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Type de réformes demandées et nombre de partenaires plaidant ensemble en faveur de ces réformes (ventilés par type de partenaire et par niveau national/infranational).</w:t>
            </w:r>
          </w:p>
        </w:tc>
      </w:tr>
      <w:tr w:rsidR="00E07158" w:rsidRPr="00880085" w14:paraId="468A8862" w14:textId="77777777" w:rsidTr="00B53EAE">
        <w:trPr>
          <w:trHeight w:val="343"/>
          <w:jc w:val="center"/>
        </w:trPr>
        <w:tc>
          <w:tcPr>
            <w:tcW w:w="232" w:type="pct"/>
            <w:vMerge/>
            <w:tcBorders>
              <w:left w:val="single" w:sz="4" w:space="0" w:color="auto"/>
              <w:right w:val="single" w:sz="4" w:space="0" w:color="auto"/>
            </w:tcBorders>
            <w:shd w:val="clear" w:color="auto" w:fill="auto"/>
          </w:tcPr>
          <w:p w14:paraId="283F6DEB"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single" w:sz="4" w:space="0" w:color="auto"/>
              <w:left w:val="single" w:sz="4" w:space="0" w:color="auto"/>
              <w:right w:val="single" w:sz="4" w:space="0" w:color="auto"/>
            </w:tcBorders>
          </w:tcPr>
          <w:p w14:paraId="24688E0A" w14:textId="29B362A3" w:rsidR="00E07158" w:rsidRPr="00BD3D80" w:rsidRDefault="00354CE4" w:rsidP="005E526B">
            <w:pPr>
              <w:spacing w:after="0" w:line="240" w:lineRule="auto"/>
              <w:rPr>
                <w:rFonts w:eastAsia="Times New Roman" w:cstheme="majorHAnsi"/>
                <w:sz w:val="20"/>
                <w:szCs w:val="20"/>
                <w:lang w:val="fr-FR"/>
              </w:rPr>
            </w:pPr>
            <w:r>
              <w:rPr>
                <w:rFonts w:eastAsia="Times New Roman" w:cstheme="majorHAnsi"/>
                <w:sz w:val="20"/>
                <w:szCs w:val="20"/>
                <w:lang w:val="fr-FR"/>
              </w:rPr>
              <w:t xml:space="preserve">2.2.5 PPP réussi documenté en collaboration avec le secteur privé pour faciliter la </w:t>
            </w:r>
            <w:r w:rsidR="00CD2763">
              <w:rPr>
                <w:rFonts w:eastAsia="Times New Roman" w:cstheme="majorHAnsi"/>
                <w:sz w:val="20"/>
                <w:szCs w:val="20"/>
                <w:lang w:val="fr-FR"/>
              </w:rPr>
              <w:t>reproduction</w:t>
            </w:r>
            <w:r>
              <w:rPr>
                <w:rFonts w:eastAsia="Times New Roman" w:cstheme="majorHAnsi"/>
                <w:sz w:val="20"/>
                <w:szCs w:val="20"/>
                <w:lang w:val="fr-FR"/>
              </w:rPr>
              <w:t xml:space="preserve">. </w:t>
            </w:r>
          </w:p>
        </w:tc>
        <w:tc>
          <w:tcPr>
            <w:tcW w:w="2501" w:type="pct"/>
            <w:tcBorders>
              <w:top w:val="single" w:sz="4" w:space="0" w:color="auto"/>
              <w:left w:val="single" w:sz="4" w:space="0" w:color="auto"/>
              <w:right w:val="single" w:sz="4" w:space="0" w:color="auto"/>
            </w:tcBorders>
          </w:tcPr>
          <w:p w14:paraId="5A1DDBEA" w14:textId="1A5302D5"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études de cas/meilleures pratiques de PPP documentées</w:t>
            </w:r>
          </w:p>
        </w:tc>
      </w:tr>
      <w:tr w:rsidR="00E07158" w:rsidRPr="00880085" w14:paraId="73EB4D71" w14:textId="77777777" w:rsidTr="00B53EAE">
        <w:trPr>
          <w:trHeight w:val="70"/>
          <w:jc w:val="center"/>
        </w:trPr>
        <w:tc>
          <w:tcPr>
            <w:tcW w:w="232" w:type="pct"/>
            <w:tcBorders>
              <w:top w:val="single" w:sz="4" w:space="0" w:color="auto"/>
              <w:left w:val="single" w:sz="4" w:space="0" w:color="auto"/>
              <w:right w:val="single" w:sz="4" w:space="0" w:color="auto"/>
            </w:tcBorders>
            <w:shd w:val="clear" w:color="auto" w:fill="auto"/>
          </w:tcPr>
          <w:p w14:paraId="4B9EF26A"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single" w:sz="4" w:space="0" w:color="auto"/>
              <w:left w:val="single" w:sz="4" w:space="0" w:color="auto"/>
              <w:right w:val="single" w:sz="4" w:space="0" w:color="auto"/>
            </w:tcBorders>
          </w:tcPr>
          <w:p w14:paraId="2BC6AC0B" w14:textId="77777777" w:rsidR="00E07158" w:rsidRPr="00BD3D80" w:rsidRDefault="00E07158" w:rsidP="005E526B">
            <w:pPr>
              <w:spacing w:after="0" w:line="240" w:lineRule="auto"/>
              <w:rPr>
                <w:rFonts w:eastAsia="Times New Roman" w:cstheme="majorHAnsi"/>
                <w:sz w:val="20"/>
                <w:szCs w:val="20"/>
                <w:lang w:val="fr-FR"/>
              </w:rPr>
            </w:pPr>
          </w:p>
        </w:tc>
        <w:tc>
          <w:tcPr>
            <w:tcW w:w="2501" w:type="pct"/>
            <w:tcBorders>
              <w:top w:val="single" w:sz="4" w:space="0" w:color="auto"/>
              <w:left w:val="single" w:sz="4" w:space="0" w:color="auto"/>
              <w:right w:val="single" w:sz="4" w:space="0" w:color="auto"/>
            </w:tcBorders>
          </w:tcPr>
          <w:p w14:paraId="7FC2EC2C" w14:textId="77777777" w:rsidR="00E07158" w:rsidRPr="00BD3D80" w:rsidRDefault="00E07158" w:rsidP="005523CD">
            <w:pPr>
              <w:pStyle w:val="ListParagraph"/>
              <w:spacing w:after="0" w:line="240" w:lineRule="auto"/>
              <w:rPr>
                <w:rFonts w:eastAsia="Times New Roman" w:cstheme="majorHAnsi"/>
                <w:sz w:val="20"/>
                <w:szCs w:val="20"/>
                <w:lang w:val="fr-FR"/>
              </w:rPr>
            </w:pPr>
          </w:p>
        </w:tc>
      </w:tr>
      <w:tr w:rsidR="00E07158" w:rsidRPr="00880085" w14:paraId="7EA5C76E" w14:textId="77777777" w:rsidTr="00B53EAE">
        <w:trPr>
          <w:trHeight w:val="70"/>
          <w:jc w:val="center"/>
        </w:trPr>
        <w:tc>
          <w:tcPr>
            <w:tcW w:w="232" w:type="pct"/>
            <w:vMerge w:val="restart"/>
            <w:tcBorders>
              <w:top w:val="single" w:sz="4" w:space="0" w:color="auto"/>
              <w:left w:val="single" w:sz="4" w:space="0" w:color="auto"/>
              <w:right w:val="single" w:sz="4" w:space="0" w:color="auto"/>
            </w:tcBorders>
            <w:shd w:val="clear" w:color="auto" w:fill="auto"/>
            <w:textDirection w:val="btLr"/>
          </w:tcPr>
          <w:p w14:paraId="2506D2D3" w14:textId="12E847BF" w:rsidR="00E07158" w:rsidRPr="00354CE4" w:rsidRDefault="00E07158" w:rsidP="005E526B">
            <w:pPr>
              <w:spacing w:after="0" w:line="240" w:lineRule="auto"/>
              <w:ind w:left="113" w:right="113"/>
              <w:jc w:val="center"/>
              <w:rPr>
                <w:rFonts w:eastAsia="Times New Roman" w:cstheme="majorHAnsi"/>
                <w:b/>
                <w:sz w:val="20"/>
                <w:szCs w:val="20"/>
              </w:rPr>
            </w:pPr>
            <w:r>
              <w:rPr>
                <w:rFonts w:eastAsia="Times New Roman" w:cstheme="majorHAnsi"/>
                <w:b/>
                <w:bCs/>
                <w:sz w:val="20"/>
                <w:szCs w:val="20"/>
                <w:lang w:val="fr-FR"/>
              </w:rPr>
              <w:t>Résultat intermédiaire</w:t>
            </w:r>
            <w:r w:rsidR="002C54BD">
              <w:rPr>
                <w:rFonts w:eastAsia="Times New Roman" w:cstheme="majorHAnsi"/>
                <w:b/>
                <w:bCs/>
                <w:sz w:val="20"/>
                <w:szCs w:val="20"/>
                <w:lang w:val="fr-FR"/>
              </w:rPr>
              <w:t> </w:t>
            </w:r>
            <w:r>
              <w:rPr>
                <w:rFonts w:eastAsia="Times New Roman" w:cstheme="majorHAnsi"/>
                <w:b/>
                <w:bCs/>
                <w:sz w:val="20"/>
                <w:szCs w:val="20"/>
                <w:lang w:val="fr-FR"/>
              </w:rPr>
              <w:t>2.3</w:t>
            </w:r>
          </w:p>
        </w:tc>
        <w:tc>
          <w:tcPr>
            <w:tcW w:w="2267" w:type="pct"/>
            <w:tcBorders>
              <w:top w:val="single" w:sz="4" w:space="0" w:color="auto"/>
              <w:left w:val="single" w:sz="4" w:space="0" w:color="auto"/>
              <w:bottom w:val="single" w:sz="4" w:space="0" w:color="auto"/>
              <w:right w:val="single" w:sz="4" w:space="0" w:color="auto"/>
            </w:tcBorders>
          </w:tcPr>
          <w:p w14:paraId="11D2BC5A" w14:textId="08114E13" w:rsidR="00E07158" w:rsidRPr="00BD3D80" w:rsidRDefault="00354CE4" w:rsidP="005E526B">
            <w:pPr>
              <w:spacing w:after="0" w:line="240" w:lineRule="auto"/>
              <w:rPr>
                <w:rFonts w:eastAsia="Times New Roman" w:cstheme="majorHAnsi"/>
                <w:sz w:val="20"/>
                <w:szCs w:val="20"/>
                <w:lang w:val="fr-FR"/>
              </w:rPr>
            </w:pPr>
            <w:r>
              <w:rPr>
                <w:rFonts w:eastAsia="Times New Roman" w:cstheme="majorHAnsi"/>
                <w:sz w:val="20"/>
                <w:szCs w:val="20"/>
                <w:lang w:val="fr-FR"/>
              </w:rPr>
              <w:t>2.3.1 Des représentants des ASC participent à d</w:t>
            </w:r>
            <w:r w:rsidR="002C54BD">
              <w:rPr>
                <w:rFonts w:eastAsia="Times New Roman" w:cstheme="majorHAnsi"/>
                <w:sz w:val="20"/>
                <w:szCs w:val="20"/>
                <w:lang w:val="fr-FR"/>
              </w:rPr>
              <w:t>’</w:t>
            </w:r>
            <w:r>
              <w:rPr>
                <w:rFonts w:eastAsia="Times New Roman" w:cstheme="majorHAnsi"/>
                <w:sz w:val="20"/>
                <w:szCs w:val="20"/>
                <w:lang w:val="fr-FR"/>
              </w:rPr>
              <w:t>importants forums et processus financiers pour faire pression en faveur d</w:t>
            </w:r>
            <w:r w:rsidR="002C54BD">
              <w:rPr>
                <w:rFonts w:eastAsia="Times New Roman" w:cstheme="majorHAnsi"/>
                <w:sz w:val="20"/>
                <w:szCs w:val="20"/>
                <w:lang w:val="fr-FR"/>
              </w:rPr>
              <w:t>’</w:t>
            </w:r>
            <w:r>
              <w:rPr>
                <w:rFonts w:eastAsia="Times New Roman" w:cstheme="majorHAnsi"/>
                <w:sz w:val="20"/>
                <w:szCs w:val="20"/>
                <w:lang w:val="fr-FR"/>
              </w:rPr>
              <w:t>engagements financiers (infranationaux, nationaux, régionaux et mondiaux)</w:t>
            </w:r>
          </w:p>
          <w:p w14:paraId="5C90780C" w14:textId="77777777" w:rsidR="00E07158" w:rsidRPr="00BD3D80" w:rsidRDefault="00E07158" w:rsidP="005E526B">
            <w:pPr>
              <w:spacing w:after="0" w:line="240" w:lineRule="auto"/>
              <w:rPr>
                <w:rFonts w:eastAsia="Times New Roman" w:cstheme="majorHAnsi"/>
                <w:sz w:val="20"/>
                <w:szCs w:val="20"/>
                <w:lang w:val="fr-FR"/>
              </w:rPr>
            </w:pPr>
          </w:p>
        </w:tc>
        <w:tc>
          <w:tcPr>
            <w:tcW w:w="2501" w:type="pct"/>
            <w:tcBorders>
              <w:top w:val="single" w:sz="4" w:space="0" w:color="auto"/>
              <w:left w:val="single" w:sz="4" w:space="0" w:color="auto"/>
              <w:bottom w:val="single" w:sz="4" w:space="0" w:color="auto"/>
              <w:right w:val="single" w:sz="4" w:space="0" w:color="auto"/>
            </w:tcBorders>
          </w:tcPr>
          <w:p w14:paraId="2D5A5CC5" w14:textId="399C2FCB"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Nombre de représentants des ASC participant aux événements (ventilés par sexe et par événement)</w:t>
            </w:r>
          </w:p>
        </w:tc>
      </w:tr>
      <w:tr w:rsidR="00E07158" w:rsidRPr="00880085" w14:paraId="0D0A1A73" w14:textId="77777777" w:rsidTr="00B53EAE">
        <w:trPr>
          <w:trHeight w:val="554"/>
          <w:jc w:val="center"/>
        </w:trPr>
        <w:tc>
          <w:tcPr>
            <w:tcW w:w="232" w:type="pct"/>
            <w:vMerge/>
            <w:tcBorders>
              <w:left w:val="single" w:sz="4" w:space="0" w:color="auto"/>
              <w:right w:val="single" w:sz="4" w:space="0" w:color="auto"/>
            </w:tcBorders>
            <w:shd w:val="clear" w:color="auto" w:fill="auto"/>
          </w:tcPr>
          <w:p w14:paraId="38E0CD4F"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nil"/>
              <w:left w:val="single" w:sz="4" w:space="0" w:color="auto"/>
              <w:bottom w:val="single" w:sz="4" w:space="0" w:color="auto"/>
              <w:right w:val="single" w:sz="4" w:space="0" w:color="auto"/>
            </w:tcBorders>
          </w:tcPr>
          <w:p w14:paraId="23311D67" w14:textId="5F28F06E" w:rsidR="00E07158" w:rsidRPr="00BD3D80" w:rsidRDefault="00354CE4" w:rsidP="005E526B">
            <w:pPr>
              <w:spacing w:after="0" w:line="240" w:lineRule="auto"/>
              <w:rPr>
                <w:rFonts w:eastAsia="Times New Roman" w:cstheme="majorHAnsi"/>
                <w:sz w:val="20"/>
                <w:szCs w:val="20"/>
                <w:lang w:val="fr-FR"/>
              </w:rPr>
            </w:pPr>
            <w:r>
              <w:rPr>
                <w:rFonts w:eastAsia="Times New Roman" w:cstheme="majorHAnsi"/>
                <w:sz w:val="20"/>
                <w:szCs w:val="20"/>
                <w:lang w:val="fr-FR"/>
              </w:rPr>
              <w:t>2.3.2 Représentants des ASC participant à des forums internationaux pour définir les priorités mondiales des donateurs</w:t>
            </w:r>
          </w:p>
          <w:p w14:paraId="2E41B9C2" w14:textId="77777777" w:rsidR="00E07158" w:rsidRPr="00BD3D80" w:rsidRDefault="00E07158" w:rsidP="005E526B">
            <w:pPr>
              <w:spacing w:after="0" w:line="240" w:lineRule="auto"/>
              <w:rPr>
                <w:rFonts w:eastAsia="Times New Roman" w:cstheme="majorHAnsi"/>
                <w:sz w:val="20"/>
                <w:szCs w:val="20"/>
                <w:lang w:val="fr-FR"/>
              </w:rPr>
            </w:pPr>
          </w:p>
        </w:tc>
        <w:tc>
          <w:tcPr>
            <w:tcW w:w="2501" w:type="pct"/>
            <w:tcBorders>
              <w:top w:val="nil"/>
              <w:left w:val="single" w:sz="4" w:space="0" w:color="auto"/>
              <w:bottom w:val="single" w:sz="4" w:space="0" w:color="auto"/>
              <w:right w:val="single" w:sz="4" w:space="0" w:color="auto"/>
            </w:tcBorders>
          </w:tcPr>
          <w:p w14:paraId="2A8009F1" w14:textId="77777777"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Nombre de représentants des ASC participant aux événements (ventilés par sexe et par représentation (p. ex. communauté, ONG, ONGI) et par événement)</w:t>
            </w:r>
          </w:p>
        </w:tc>
      </w:tr>
      <w:tr w:rsidR="00E07158" w:rsidRPr="00880085" w14:paraId="08D7F442" w14:textId="77777777" w:rsidTr="00B53EAE">
        <w:trPr>
          <w:trHeight w:val="74"/>
          <w:jc w:val="center"/>
        </w:trPr>
        <w:tc>
          <w:tcPr>
            <w:tcW w:w="232" w:type="pct"/>
            <w:vMerge/>
            <w:tcBorders>
              <w:left w:val="single" w:sz="4" w:space="0" w:color="auto"/>
              <w:right w:val="single" w:sz="4" w:space="0" w:color="auto"/>
            </w:tcBorders>
            <w:shd w:val="clear" w:color="auto" w:fill="auto"/>
          </w:tcPr>
          <w:p w14:paraId="57A57495"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nil"/>
              <w:left w:val="single" w:sz="4" w:space="0" w:color="auto"/>
              <w:bottom w:val="single" w:sz="4" w:space="0" w:color="auto"/>
              <w:right w:val="single" w:sz="4" w:space="0" w:color="auto"/>
            </w:tcBorders>
          </w:tcPr>
          <w:p w14:paraId="47DEBE2F" w14:textId="4872E8FF" w:rsidR="00E07158" w:rsidRPr="00BD3D80" w:rsidRDefault="00354CE4" w:rsidP="005E526B">
            <w:pPr>
              <w:spacing w:after="0" w:line="240" w:lineRule="auto"/>
              <w:rPr>
                <w:rFonts w:eastAsia="Times New Roman" w:cstheme="majorHAnsi"/>
                <w:sz w:val="20"/>
                <w:szCs w:val="20"/>
                <w:highlight w:val="yellow"/>
                <w:lang w:val="fr-FR"/>
              </w:rPr>
            </w:pPr>
            <w:r>
              <w:rPr>
                <w:rFonts w:eastAsia="Times New Roman" w:cstheme="majorHAnsi"/>
                <w:sz w:val="20"/>
                <w:szCs w:val="20"/>
                <w:lang w:val="fr-FR"/>
              </w:rPr>
              <w:t xml:space="preserve">2.3.3 ICAN et les ASC demandent aux donateurs de modifier leurs priorités pour financer les </w:t>
            </w:r>
            <w:r w:rsidR="0029661A">
              <w:rPr>
                <w:rFonts w:eastAsia="Times New Roman" w:cstheme="majorHAnsi"/>
                <w:sz w:val="20"/>
                <w:szCs w:val="20"/>
                <w:lang w:val="fr-FR"/>
              </w:rPr>
              <w:t>plans nationaux de nutrition</w:t>
            </w:r>
          </w:p>
        </w:tc>
        <w:tc>
          <w:tcPr>
            <w:tcW w:w="2501" w:type="pct"/>
            <w:tcBorders>
              <w:top w:val="nil"/>
              <w:left w:val="single" w:sz="4" w:space="0" w:color="auto"/>
              <w:bottom w:val="single" w:sz="4" w:space="0" w:color="auto"/>
              <w:right w:val="single" w:sz="4" w:space="0" w:color="auto"/>
            </w:tcBorders>
          </w:tcPr>
          <w:p w14:paraId="4732F46E" w14:textId="0ECE4F8E"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Type et effet</w:t>
            </w:r>
            <w:r w:rsidR="00C26CAB">
              <w:rPr>
                <w:rFonts w:eastAsia="Times New Roman" w:cstheme="majorHAnsi"/>
                <w:sz w:val="20"/>
                <w:szCs w:val="20"/>
                <w:lang w:val="fr-FR"/>
              </w:rPr>
              <w:t>s</w:t>
            </w:r>
            <w:r>
              <w:rPr>
                <w:rFonts w:eastAsia="Times New Roman" w:cstheme="majorHAnsi"/>
                <w:sz w:val="20"/>
                <w:szCs w:val="20"/>
                <w:lang w:val="fr-FR"/>
              </w:rPr>
              <w:t xml:space="preserve"> des actions conjointes de collaboration entreprises par les ASC et ICAN</w:t>
            </w:r>
          </w:p>
        </w:tc>
      </w:tr>
      <w:tr w:rsidR="00E07158" w:rsidRPr="00880085" w14:paraId="42B5F1EA" w14:textId="77777777" w:rsidTr="00B53EAE">
        <w:trPr>
          <w:trHeight w:val="413"/>
          <w:jc w:val="center"/>
        </w:trPr>
        <w:tc>
          <w:tcPr>
            <w:tcW w:w="232" w:type="pct"/>
            <w:vMerge/>
            <w:tcBorders>
              <w:left w:val="single" w:sz="4" w:space="0" w:color="auto"/>
              <w:right w:val="single" w:sz="4" w:space="0" w:color="auto"/>
            </w:tcBorders>
            <w:shd w:val="clear" w:color="auto" w:fill="auto"/>
          </w:tcPr>
          <w:p w14:paraId="5FC248B7"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nil"/>
              <w:left w:val="single" w:sz="4" w:space="0" w:color="auto"/>
              <w:bottom w:val="single" w:sz="4" w:space="0" w:color="auto"/>
              <w:right w:val="single" w:sz="4" w:space="0" w:color="auto"/>
            </w:tcBorders>
          </w:tcPr>
          <w:p w14:paraId="3B6C6BEC" w14:textId="668AE766" w:rsidR="00E07158" w:rsidRPr="00BD3D80" w:rsidRDefault="00354CE4" w:rsidP="005E526B">
            <w:pPr>
              <w:spacing w:after="0" w:line="240" w:lineRule="auto"/>
              <w:rPr>
                <w:rFonts w:eastAsia="Times New Roman" w:cstheme="majorHAnsi"/>
                <w:sz w:val="20"/>
                <w:szCs w:val="20"/>
                <w:lang w:val="fr-FR"/>
              </w:rPr>
            </w:pPr>
            <w:r>
              <w:rPr>
                <w:rFonts w:eastAsia="Times New Roman" w:cstheme="majorHAnsi"/>
                <w:sz w:val="20"/>
                <w:szCs w:val="20"/>
                <w:lang w:val="fr-FR"/>
              </w:rPr>
              <w:t>2.3.4 Les ASC participent à des manifestations régionales pour inciter les donateurs et les gouvernements à prendre des engagements financiers</w:t>
            </w:r>
          </w:p>
          <w:p w14:paraId="49751599" w14:textId="77777777" w:rsidR="00E07158" w:rsidRPr="00BD3D80" w:rsidRDefault="00E07158" w:rsidP="005E526B">
            <w:pPr>
              <w:spacing w:after="0" w:line="240" w:lineRule="auto"/>
              <w:rPr>
                <w:rFonts w:eastAsia="Times New Roman" w:cstheme="majorHAnsi"/>
                <w:color w:val="808080" w:themeColor="background1" w:themeShade="80"/>
                <w:sz w:val="20"/>
                <w:szCs w:val="20"/>
                <w:lang w:val="fr-FR"/>
              </w:rPr>
            </w:pPr>
          </w:p>
          <w:p w14:paraId="2BCA78C2" w14:textId="77777777" w:rsidR="00E07158" w:rsidRPr="00BD3D80" w:rsidRDefault="00E07158" w:rsidP="005E526B">
            <w:pPr>
              <w:spacing w:after="0" w:line="240" w:lineRule="auto"/>
              <w:rPr>
                <w:rFonts w:eastAsia="Times New Roman" w:cstheme="majorHAnsi"/>
                <w:sz w:val="20"/>
                <w:szCs w:val="20"/>
                <w:lang w:val="fr-FR"/>
              </w:rPr>
            </w:pPr>
          </w:p>
        </w:tc>
        <w:tc>
          <w:tcPr>
            <w:tcW w:w="2501" w:type="pct"/>
            <w:tcBorders>
              <w:top w:val="nil"/>
              <w:left w:val="single" w:sz="4" w:space="0" w:color="auto"/>
              <w:bottom w:val="single" w:sz="4" w:space="0" w:color="auto"/>
              <w:right w:val="single" w:sz="4" w:space="0" w:color="auto"/>
            </w:tcBorders>
          </w:tcPr>
          <w:p w14:paraId="11876CB7" w14:textId="34E46DEB"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Nombre de représentants des ASC particip</w:t>
            </w:r>
            <w:r w:rsidR="00CD2763">
              <w:rPr>
                <w:rFonts w:eastAsia="Times New Roman" w:cstheme="majorHAnsi"/>
                <w:sz w:val="20"/>
                <w:szCs w:val="20"/>
                <w:lang w:val="fr-FR"/>
              </w:rPr>
              <w:t>a</w:t>
            </w:r>
            <w:r>
              <w:rPr>
                <w:rFonts w:eastAsia="Times New Roman" w:cstheme="majorHAnsi"/>
                <w:sz w:val="20"/>
                <w:szCs w:val="20"/>
                <w:lang w:val="fr-FR"/>
              </w:rPr>
              <w:t xml:space="preserve">nt </w:t>
            </w:r>
            <w:r w:rsidR="00945DEB">
              <w:rPr>
                <w:rFonts w:eastAsia="Times New Roman" w:cstheme="majorHAnsi"/>
                <w:sz w:val="20"/>
                <w:szCs w:val="20"/>
                <w:lang w:val="fr-FR"/>
              </w:rPr>
              <w:t>aux manifestations et nombre de manifestations régionales auxquels ces représentants ont participé</w:t>
            </w:r>
            <w:r>
              <w:rPr>
                <w:rFonts w:eastAsia="Times New Roman" w:cstheme="majorHAnsi"/>
                <w:sz w:val="20"/>
                <w:szCs w:val="20"/>
                <w:lang w:val="fr-FR"/>
              </w:rPr>
              <w:t xml:space="preserve"> (ventilation par sexe et représentation nationale/infranationale)</w:t>
            </w:r>
          </w:p>
          <w:p w14:paraId="136271D7" w14:textId="09EB56C3"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 xml:space="preserve">Nombre de donateurs/décideurs politiques effectivement </w:t>
            </w:r>
            <w:r w:rsidR="00A94EED">
              <w:rPr>
                <w:rFonts w:eastAsia="Times New Roman" w:cstheme="majorHAnsi"/>
                <w:sz w:val="20"/>
                <w:szCs w:val="20"/>
                <w:lang w:val="fr-FR"/>
              </w:rPr>
              <w:t>contactés</w:t>
            </w:r>
            <w:r>
              <w:rPr>
                <w:rFonts w:eastAsia="Times New Roman" w:cstheme="majorHAnsi"/>
                <w:sz w:val="20"/>
                <w:szCs w:val="20"/>
                <w:lang w:val="fr-FR"/>
              </w:rPr>
              <w:t>/ciblés par les ASC lors de ces événements</w:t>
            </w:r>
          </w:p>
        </w:tc>
      </w:tr>
      <w:tr w:rsidR="00E07158" w:rsidRPr="00880085" w14:paraId="551D5380" w14:textId="77777777" w:rsidTr="00B53EAE">
        <w:trPr>
          <w:trHeight w:val="372"/>
          <w:jc w:val="center"/>
        </w:trPr>
        <w:tc>
          <w:tcPr>
            <w:tcW w:w="232" w:type="pct"/>
            <w:vMerge/>
            <w:tcBorders>
              <w:left w:val="single" w:sz="4" w:space="0" w:color="auto"/>
              <w:bottom w:val="single" w:sz="4" w:space="0" w:color="auto"/>
              <w:right w:val="single" w:sz="4" w:space="0" w:color="auto"/>
            </w:tcBorders>
            <w:shd w:val="clear" w:color="auto" w:fill="auto"/>
          </w:tcPr>
          <w:p w14:paraId="590E694F"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nil"/>
              <w:left w:val="single" w:sz="4" w:space="0" w:color="auto"/>
              <w:bottom w:val="single" w:sz="4" w:space="0" w:color="auto"/>
              <w:right w:val="single" w:sz="4" w:space="0" w:color="auto"/>
            </w:tcBorders>
          </w:tcPr>
          <w:p w14:paraId="18EAEA99" w14:textId="2C6B8EC9" w:rsidR="00E07158" w:rsidRPr="00BD3D80" w:rsidRDefault="00354CE4" w:rsidP="005E526B">
            <w:pPr>
              <w:spacing w:after="0" w:line="240" w:lineRule="auto"/>
              <w:rPr>
                <w:rFonts w:eastAsia="Times New Roman" w:cstheme="majorHAnsi"/>
                <w:sz w:val="20"/>
                <w:szCs w:val="20"/>
                <w:lang w:val="fr-FR"/>
              </w:rPr>
            </w:pPr>
            <w:r>
              <w:rPr>
                <w:rFonts w:eastAsia="Times New Roman" w:cstheme="majorHAnsi"/>
                <w:sz w:val="20"/>
                <w:szCs w:val="20"/>
                <w:lang w:val="fr-FR"/>
              </w:rPr>
              <w:t>2.3.5 Études de cas sur des mécanismes de financement novateurs et des mesures nutritionnelles à fort impact utilisées dans les rapports mondiaux</w:t>
            </w:r>
          </w:p>
        </w:tc>
        <w:tc>
          <w:tcPr>
            <w:tcW w:w="2501" w:type="pct"/>
            <w:tcBorders>
              <w:top w:val="nil"/>
              <w:left w:val="single" w:sz="4" w:space="0" w:color="auto"/>
              <w:bottom w:val="single" w:sz="4" w:space="0" w:color="auto"/>
              <w:right w:val="single" w:sz="4" w:space="0" w:color="auto"/>
            </w:tcBorders>
          </w:tcPr>
          <w:p w14:paraId="07369C78" w14:textId="03AB9E81" w:rsidR="00E07158" w:rsidRPr="00BD3D80" w:rsidRDefault="00E07158" w:rsidP="00354CE4">
            <w:pPr>
              <w:pStyle w:val="ListParagraph"/>
              <w:numPr>
                <w:ilvl w:val="0"/>
                <w:numId w:val="18"/>
              </w:numPr>
              <w:spacing w:after="0" w:line="240" w:lineRule="auto"/>
              <w:rPr>
                <w:rFonts w:eastAsia="Times New Roman" w:cstheme="majorHAnsi"/>
                <w:sz w:val="20"/>
                <w:szCs w:val="20"/>
                <w:lang w:val="fr-FR"/>
              </w:rPr>
            </w:pPr>
            <w:r>
              <w:rPr>
                <w:rFonts w:eastAsia="Times New Roman" w:cstheme="majorHAnsi"/>
                <w:sz w:val="20"/>
                <w:szCs w:val="20"/>
                <w:lang w:val="fr-FR"/>
              </w:rPr>
              <w:t>Nombre et type d</w:t>
            </w:r>
            <w:r w:rsidR="002C54BD">
              <w:rPr>
                <w:rFonts w:eastAsia="Times New Roman" w:cstheme="majorHAnsi"/>
                <w:sz w:val="20"/>
                <w:szCs w:val="20"/>
                <w:lang w:val="fr-FR"/>
              </w:rPr>
              <w:t>’</w:t>
            </w:r>
            <w:r>
              <w:rPr>
                <w:rFonts w:eastAsia="Times New Roman" w:cstheme="majorHAnsi"/>
                <w:sz w:val="20"/>
                <w:szCs w:val="20"/>
                <w:lang w:val="fr-FR"/>
              </w:rPr>
              <w:t>études de cas (en référence au rapport mondial)</w:t>
            </w:r>
          </w:p>
        </w:tc>
      </w:tr>
      <w:tr w:rsidR="00E07158" w:rsidRPr="00880085" w14:paraId="6ABAEE1F" w14:textId="77777777" w:rsidTr="00B53EAE">
        <w:trPr>
          <w:trHeight w:val="372"/>
          <w:jc w:val="center"/>
        </w:trPr>
        <w:tc>
          <w:tcPr>
            <w:tcW w:w="232" w:type="pct"/>
            <w:tcBorders>
              <w:top w:val="nil"/>
              <w:left w:val="single" w:sz="4" w:space="0" w:color="auto"/>
              <w:bottom w:val="single" w:sz="4" w:space="0" w:color="auto"/>
              <w:right w:val="single" w:sz="4" w:space="0" w:color="auto"/>
            </w:tcBorders>
            <w:shd w:val="clear" w:color="auto" w:fill="auto"/>
          </w:tcPr>
          <w:p w14:paraId="61194045" w14:textId="77777777" w:rsidR="00E07158" w:rsidRPr="00BD3D80" w:rsidRDefault="00E07158" w:rsidP="005E526B">
            <w:pPr>
              <w:spacing w:after="0" w:line="240" w:lineRule="auto"/>
              <w:rPr>
                <w:rFonts w:eastAsia="Times New Roman" w:cstheme="majorHAnsi"/>
                <w:sz w:val="20"/>
                <w:szCs w:val="20"/>
                <w:lang w:val="fr-FR"/>
              </w:rPr>
            </w:pPr>
          </w:p>
        </w:tc>
        <w:tc>
          <w:tcPr>
            <w:tcW w:w="2267" w:type="pct"/>
            <w:tcBorders>
              <w:top w:val="nil"/>
              <w:left w:val="single" w:sz="4" w:space="0" w:color="auto"/>
              <w:bottom w:val="single" w:sz="4" w:space="0" w:color="auto"/>
              <w:right w:val="single" w:sz="4" w:space="0" w:color="auto"/>
            </w:tcBorders>
          </w:tcPr>
          <w:p w14:paraId="20C3910D" w14:textId="77777777" w:rsidR="00E07158" w:rsidRPr="00BD3D80" w:rsidRDefault="00E07158" w:rsidP="005E526B">
            <w:pPr>
              <w:spacing w:after="0" w:line="240" w:lineRule="auto"/>
              <w:rPr>
                <w:rFonts w:eastAsia="Times New Roman" w:cstheme="majorHAnsi"/>
                <w:sz w:val="20"/>
                <w:szCs w:val="20"/>
                <w:lang w:val="fr-FR"/>
              </w:rPr>
            </w:pPr>
          </w:p>
        </w:tc>
        <w:tc>
          <w:tcPr>
            <w:tcW w:w="2501" w:type="pct"/>
            <w:tcBorders>
              <w:top w:val="nil"/>
              <w:left w:val="single" w:sz="4" w:space="0" w:color="auto"/>
              <w:bottom w:val="single" w:sz="4" w:space="0" w:color="auto"/>
              <w:right w:val="single" w:sz="4" w:space="0" w:color="auto"/>
            </w:tcBorders>
          </w:tcPr>
          <w:p w14:paraId="09A06E7A" w14:textId="77777777" w:rsidR="00E07158" w:rsidRPr="00BD3D80" w:rsidRDefault="00E07158" w:rsidP="005E526B">
            <w:pPr>
              <w:spacing w:after="0" w:line="240" w:lineRule="auto"/>
              <w:rPr>
                <w:rFonts w:eastAsia="Times New Roman" w:cstheme="majorHAnsi"/>
                <w:sz w:val="20"/>
                <w:szCs w:val="20"/>
                <w:lang w:val="fr-FR"/>
              </w:rPr>
            </w:pPr>
          </w:p>
        </w:tc>
      </w:tr>
    </w:tbl>
    <w:p w14:paraId="7E970830" w14:textId="3725F207" w:rsidR="00E07158" w:rsidRPr="00BD3D80" w:rsidRDefault="00E07158">
      <w:pPr>
        <w:rPr>
          <w:lang w:val="fr-FR"/>
        </w:rPr>
      </w:pPr>
    </w:p>
    <w:p w14:paraId="45C2CFEF" w14:textId="77777777" w:rsidR="00E07158" w:rsidRPr="00BD3D80" w:rsidRDefault="00E07158">
      <w:pPr>
        <w:rPr>
          <w:lang w:val="fr-FR"/>
        </w:rPr>
      </w:pPr>
      <w:r>
        <w:rPr>
          <w:lang w:val="fr-FR"/>
        </w:rPr>
        <w:br w:type="page"/>
      </w:r>
    </w:p>
    <w:p w14:paraId="05F58618" w14:textId="77777777" w:rsidR="00E07158" w:rsidRPr="00BD3D80" w:rsidRDefault="00E07158">
      <w:pPr>
        <w:rPr>
          <w:lang w:val="fr-FR"/>
        </w:rPr>
      </w:pPr>
    </w:p>
    <w:p w14:paraId="72315787" w14:textId="6CF8CCFC" w:rsidR="003D1EE0" w:rsidRPr="00BD3D80" w:rsidRDefault="003D1EE0" w:rsidP="00834C72">
      <w:pPr>
        <w:pStyle w:val="Heading2"/>
        <w:rPr>
          <w:rFonts w:eastAsiaTheme="minorHAnsi"/>
          <w:b/>
          <w:color w:val="FFC000" w:themeColor="accent4"/>
          <w:sz w:val="28"/>
          <w:szCs w:val="28"/>
          <w:lang w:val="fr-FR"/>
        </w:rPr>
      </w:pPr>
      <w:bookmarkStart w:id="16" w:name="_Toc37072348"/>
      <w:r>
        <w:rPr>
          <w:rFonts w:eastAsiaTheme="minorHAnsi"/>
          <w:b/>
          <w:bCs/>
          <w:color w:val="FFC000" w:themeColor="accent4"/>
          <w:sz w:val="28"/>
          <w:szCs w:val="28"/>
          <w:lang w:val="fr-FR"/>
        </w:rPr>
        <w:t>Résultat</w:t>
      </w:r>
      <w:r w:rsidR="002C54BD">
        <w:rPr>
          <w:rFonts w:eastAsiaTheme="minorHAnsi"/>
          <w:b/>
          <w:bCs/>
          <w:color w:val="FFC000" w:themeColor="accent4"/>
          <w:sz w:val="28"/>
          <w:szCs w:val="28"/>
          <w:lang w:val="fr-FR"/>
        </w:rPr>
        <w:t> </w:t>
      </w:r>
      <w:r>
        <w:rPr>
          <w:rFonts w:eastAsiaTheme="minorHAnsi"/>
          <w:b/>
          <w:bCs/>
          <w:color w:val="FFC000" w:themeColor="accent4"/>
          <w:sz w:val="28"/>
          <w:szCs w:val="28"/>
          <w:lang w:val="fr-FR"/>
        </w:rPr>
        <w:t>3 – (Meilleure redevabilité) Les parties prenantes clés (gouvernements, société civile, Nations Unies, donateurs et secteur privé) sont en bonne voie pour tenir leurs engagements et apportent une contribution tangible à la réduction de la malnutrition</w:t>
      </w:r>
      <w:bookmarkEnd w:id="16"/>
    </w:p>
    <w:p w14:paraId="6BBCCD5D" w14:textId="77777777" w:rsidR="00834C72" w:rsidRPr="00BD3D80" w:rsidRDefault="00834C72" w:rsidP="00834C72">
      <w:pPr>
        <w:rPr>
          <w:lang w:val="fr-FR"/>
        </w:rPr>
      </w:pPr>
    </w:p>
    <w:tbl>
      <w:tblPr>
        <w:tblStyle w:val="TableGrid"/>
        <w:tblW w:w="9634" w:type="dxa"/>
        <w:tblLook w:val="04A0" w:firstRow="1" w:lastRow="0" w:firstColumn="1" w:lastColumn="0" w:noHBand="0" w:noVBand="1"/>
      </w:tblPr>
      <w:tblGrid>
        <w:gridCol w:w="3256"/>
        <w:gridCol w:w="6378"/>
      </w:tblGrid>
      <w:tr w:rsidR="00CF72FE" w:rsidRPr="00880085" w14:paraId="0979D216" w14:textId="77777777" w:rsidTr="00DB44FD">
        <w:tc>
          <w:tcPr>
            <w:tcW w:w="3256" w:type="dxa"/>
            <w:shd w:val="clear" w:color="auto" w:fill="D9E2F3" w:themeFill="accent1" w:themeFillTint="33"/>
          </w:tcPr>
          <w:p w14:paraId="3D84FBF3" w14:textId="7472BDAC" w:rsidR="00CF72FE" w:rsidRPr="00305E63" w:rsidRDefault="00CF72FE" w:rsidP="00354CE4">
            <w:pPr>
              <w:rPr>
                <w:b/>
              </w:rPr>
            </w:pPr>
            <w:r>
              <w:rPr>
                <w:lang w:val="fr-FR"/>
              </w:rPr>
              <w:br w:type="page"/>
            </w:r>
            <w:r>
              <w:rPr>
                <w:b/>
                <w:bCs/>
                <w:lang w:val="fr-FR"/>
              </w:rPr>
              <w:t>Résultat</w:t>
            </w:r>
            <w:r w:rsidR="002C54BD">
              <w:rPr>
                <w:b/>
                <w:bCs/>
                <w:lang w:val="fr-FR"/>
              </w:rPr>
              <w:t> </w:t>
            </w:r>
            <w:r>
              <w:rPr>
                <w:b/>
                <w:bCs/>
                <w:lang w:val="fr-FR"/>
              </w:rPr>
              <w:t>3</w:t>
            </w:r>
          </w:p>
        </w:tc>
        <w:tc>
          <w:tcPr>
            <w:tcW w:w="6378" w:type="dxa"/>
            <w:shd w:val="clear" w:color="auto" w:fill="D9E2F3" w:themeFill="accent1" w:themeFillTint="33"/>
          </w:tcPr>
          <w:p w14:paraId="31C263C2" w14:textId="1542AAAD" w:rsidR="00CF72FE" w:rsidRPr="00BD3D80" w:rsidRDefault="00347DFD" w:rsidP="00354CE4">
            <w:pPr>
              <w:rPr>
                <w:b/>
                <w:lang w:val="fr-FR"/>
              </w:rPr>
            </w:pPr>
            <w:r>
              <w:rPr>
                <w:b/>
                <w:bCs/>
                <w:lang w:val="fr-FR"/>
              </w:rPr>
              <w:t>Indicateurs suggérés (lorsque plusieurs choix sont possibles, veuillez n</w:t>
            </w:r>
            <w:r w:rsidR="002C54BD">
              <w:rPr>
                <w:b/>
                <w:bCs/>
                <w:lang w:val="fr-FR"/>
              </w:rPr>
              <w:t>’</w:t>
            </w:r>
            <w:r>
              <w:rPr>
                <w:b/>
                <w:bCs/>
                <w:lang w:val="fr-FR"/>
              </w:rPr>
              <w:t>en sélectionner qu</w:t>
            </w:r>
            <w:r w:rsidR="002C54BD">
              <w:rPr>
                <w:b/>
                <w:bCs/>
                <w:lang w:val="fr-FR"/>
              </w:rPr>
              <w:t>’</w:t>
            </w:r>
            <w:r>
              <w:rPr>
                <w:b/>
                <w:bCs/>
                <w:lang w:val="fr-FR"/>
              </w:rPr>
              <w:t>un seul)</w:t>
            </w:r>
          </w:p>
        </w:tc>
      </w:tr>
      <w:tr w:rsidR="00CF72FE" w:rsidRPr="00880085" w14:paraId="1D6AFBF6" w14:textId="77777777" w:rsidTr="00DB44FD">
        <w:trPr>
          <w:trHeight w:val="844"/>
        </w:trPr>
        <w:tc>
          <w:tcPr>
            <w:tcW w:w="3256" w:type="dxa"/>
          </w:tcPr>
          <w:p w14:paraId="217D49D8" w14:textId="5E390CC3" w:rsidR="00CF72FE" w:rsidRPr="00BD3D80" w:rsidRDefault="00CF72FE" w:rsidP="00354CE4">
            <w:pPr>
              <w:rPr>
                <w:lang w:val="fr-FR"/>
              </w:rPr>
            </w:pPr>
            <w:r>
              <w:rPr>
                <w:b/>
                <w:bCs/>
                <w:sz w:val="20"/>
                <w:szCs w:val="20"/>
                <w:lang w:val="fr-FR"/>
              </w:rPr>
              <w:t>3)</w:t>
            </w:r>
            <w:r>
              <w:rPr>
                <w:sz w:val="20"/>
                <w:szCs w:val="20"/>
                <w:lang w:val="fr-FR"/>
              </w:rPr>
              <w:t xml:space="preserve"> Les parties prenantes clés (gouvernements, société civile, Nations Unies, donateurs et secteur privé) sont en bonne voie pour tenir leurs engagements (p. ex., mobiliser les ressources et mettre en œuvre les </w:t>
            </w:r>
            <w:r w:rsidR="0029661A">
              <w:rPr>
                <w:sz w:val="20"/>
                <w:szCs w:val="20"/>
                <w:lang w:val="fr-FR"/>
              </w:rPr>
              <w:t>plans de nutrition</w:t>
            </w:r>
            <w:r>
              <w:rPr>
                <w:sz w:val="20"/>
                <w:szCs w:val="20"/>
                <w:lang w:val="fr-FR"/>
              </w:rPr>
              <w:t xml:space="preserve">) et apportent une contribution tangible à la réduction de la malnutrition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tc>
        <w:tc>
          <w:tcPr>
            <w:tcW w:w="6378" w:type="dxa"/>
          </w:tcPr>
          <w:p w14:paraId="692E5A34" w14:textId="74A16CB8" w:rsidR="00C12F02" w:rsidRPr="00BD3D80" w:rsidRDefault="00C12F02" w:rsidP="00354CE4">
            <w:pPr>
              <w:pStyle w:val="ListParagraph"/>
              <w:numPr>
                <w:ilvl w:val="0"/>
                <w:numId w:val="18"/>
              </w:numPr>
              <w:spacing w:beforeLines="60" w:before="144" w:afterLines="60" w:after="144"/>
              <w:rPr>
                <w:rFonts w:eastAsia="Times New Roman" w:cstheme="majorHAnsi"/>
                <w:sz w:val="20"/>
                <w:szCs w:val="20"/>
                <w:lang w:val="fr-FR"/>
              </w:rPr>
            </w:pPr>
            <w:r>
              <w:rPr>
                <w:sz w:val="20"/>
                <w:szCs w:val="20"/>
                <w:lang w:val="fr-FR"/>
              </w:rPr>
              <w:t xml:space="preserve">Nombre de parties prenantes dans les pays qui rendent compte de leurs engagements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5E86B19E" w14:textId="26730D9C" w:rsidR="00CF72FE" w:rsidRPr="00BD3D80" w:rsidRDefault="00C12F02" w:rsidP="00354CE4">
            <w:pPr>
              <w:pStyle w:val="ListParagraph"/>
              <w:numPr>
                <w:ilvl w:val="0"/>
                <w:numId w:val="18"/>
              </w:numPr>
              <w:spacing w:beforeLines="60" w:before="144" w:afterLines="60" w:after="144"/>
              <w:rPr>
                <w:rFonts w:eastAsia="Times New Roman" w:cstheme="majorHAnsi"/>
                <w:sz w:val="20"/>
                <w:szCs w:val="20"/>
                <w:lang w:val="fr-FR"/>
              </w:rPr>
            </w:pPr>
            <w:r>
              <w:rPr>
                <w:sz w:val="20"/>
                <w:szCs w:val="20"/>
                <w:lang w:val="fr-FR"/>
              </w:rPr>
              <w:t xml:space="preserve">Nombre de parties prenantes dans le pays qui </w:t>
            </w:r>
            <w:r w:rsidR="00DC344D">
              <w:rPr>
                <w:sz w:val="20"/>
                <w:szCs w:val="20"/>
                <w:lang w:val="fr-FR"/>
              </w:rPr>
              <w:t>ont pris des engagements</w:t>
            </w:r>
            <w:r w:rsidR="00590988">
              <w:rPr>
                <w:sz w:val="20"/>
                <w:szCs w:val="20"/>
                <w:lang w:val="fr-FR"/>
              </w:rPr>
              <w:t xml:space="preserve"> et</w:t>
            </w:r>
            <w:r>
              <w:rPr>
                <w:sz w:val="20"/>
                <w:szCs w:val="20"/>
                <w:lang w:val="fr-FR"/>
              </w:rPr>
              <w:t xml:space="preserve"> </w:t>
            </w:r>
            <w:r w:rsidR="00DC344D">
              <w:rPr>
                <w:sz w:val="20"/>
                <w:szCs w:val="20"/>
                <w:lang w:val="fr-FR"/>
              </w:rPr>
              <w:t>dont la mise en œuvre est en</w:t>
            </w:r>
            <w:r>
              <w:rPr>
                <w:sz w:val="20"/>
                <w:szCs w:val="20"/>
                <w:lang w:val="fr-FR"/>
              </w:rPr>
              <w:t xml:space="preserve"> bonne voie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p w14:paraId="6215D81F" w14:textId="16EBEB98" w:rsidR="00CF72FE" w:rsidRPr="00BD3D80" w:rsidRDefault="00C26CAB" w:rsidP="00354CE4">
            <w:pPr>
              <w:pStyle w:val="ListParagraph"/>
              <w:numPr>
                <w:ilvl w:val="0"/>
                <w:numId w:val="18"/>
              </w:numPr>
              <w:rPr>
                <w:rFonts w:eastAsia="Times New Roman" w:cstheme="majorHAnsi"/>
                <w:sz w:val="20"/>
                <w:szCs w:val="20"/>
                <w:lang w:val="fr-FR"/>
              </w:rPr>
            </w:pPr>
            <w:r>
              <w:rPr>
                <w:sz w:val="20"/>
                <w:szCs w:val="20"/>
                <w:lang w:val="fr-FR"/>
              </w:rPr>
              <w:t xml:space="preserve">Pourcentage </w:t>
            </w:r>
            <w:r w:rsidR="00CF72FE">
              <w:rPr>
                <w:sz w:val="20"/>
                <w:szCs w:val="20"/>
                <w:lang w:val="fr-FR"/>
              </w:rPr>
              <w:t xml:space="preserve">de pays où les ASC sont </w:t>
            </w:r>
            <w:r w:rsidR="00D2614B">
              <w:rPr>
                <w:sz w:val="20"/>
                <w:szCs w:val="20"/>
                <w:lang w:val="fr-FR"/>
              </w:rPr>
              <w:t>activement engagées,</w:t>
            </w:r>
            <w:r w:rsidR="00CF72FE">
              <w:rPr>
                <w:sz w:val="20"/>
                <w:szCs w:val="20"/>
                <w:lang w:val="fr-FR"/>
              </w:rPr>
              <w:t xml:space="preserve"> qui font état de progrès dans la réduction de la malnutrition</w:t>
            </w:r>
            <w:r w:rsidR="00D2614B">
              <w:rPr>
                <w:sz w:val="20"/>
                <w:szCs w:val="20"/>
                <w:lang w:val="fr-FR"/>
              </w:rPr>
              <w:t xml:space="preserve"> </w:t>
            </w:r>
            <w:r w:rsidR="00CF72FE">
              <w:rPr>
                <w:color w:val="ED7D31" w:themeColor="accent2"/>
                <w:sz w:val="20"/>
                <w:szCs w:val="20"/>
                <w:lang w:val="fr-FR"/>
              </w:rPr>
              <w:t>(</w:t>
            </w:r>
            <w:r w:rsidR="00BB74DB">
              <w:rPr>
                <w:color w:val="ED7D31" w:themeColor="accent2"/>
                <w:sz w:val="20"/>
                <w:szCs w:val="20"/>
                <w:lang w:val="fr-FR"/>
              </w:rPr>
              <w:t>fonds communs</w:t>
            </w:r>
            <w:r w:rsidR="00CF72FE">
              <w:rPr>
                <w:color w:val="ED7D31" w:themeColor="accent2"/>
                <w:sz w:val="20"/>
                <w:szCs w:val="20"/>
                <w:lang w:val="fr-FR"/>
              </w:rPr>
              <w:t>)</w:t>
            </w:r>
          </w:p>
          <w:p w14:paraId="10202599" w14:textId="3E90546D" w:rsidR="00997566" w:rsidRPr="00BD3D80" w:rsidRDefault="00C26CAB" w:rsidP="00997566">
            <w:pPr>
              <w:pStyle w:val="ListParagraph"/>
              <w:numPr>
                <w:ilvl w:val="0"/>
                <w:numId w:val="18"/>
              </w:numPr>
              <w:rPr>
                <w:lang w:val="fr-FR"/>
              </w:rPr>
            </w:pPr>
            <w:r>
              <w:rPr>
                <w:sz w:val="20"/>
                <w:szCs w:val="20"/>
                <w:lang w:val="fr-FR"/>
              </w:rPr>
              <w:t xml:space="preserve">Pourcentage </w:t>
            </w:r>
            <w:r w:rsidR="00997566">
              <w:rPr>
                <w:sz w:val="20"/>
                <w:szCs w:val="20"/>
                <w:lang w:val="fr-FR"/>
              </w:rPr>
              <w:t xml:space="preserve">de pays où les ASC sont </w:t>
            </w:r>
            <w:r w:rsidR="00D2614B">
              <w:rPr>
                <w:sz w:val="20"/>
                <w:szCs w:val="20"/>
                <w:lang w:val="fr-FR"/>
              </w:rPr>
              <w:t>activement engagées</w:t>
            </w:r>
            <w:r w:rsidR="00997566">
              <w:rPr>
                <w:sz w:val="20"/>
                <w:szCs w:val="20"/>
                <w:lang w:val="fr-FR"/>
              </w:rPr>
              <w:t>, qui font état de progrès dans la lutte contre les inégalités entre les sexes</w:t>
            </w:r>
            <w:r w:rsidR="00D2614B">
              <w:rPr>
                <w:sz w:val="20"/>
                <w:szCs w:val="20"/>
                <w:lang w:val="fr-FR"/>
              </w:rPr>
              <w:t xml:space="preserve"> </w:t>
            </w:r>
            <w:r w:rsidR="00997566">
              <w:rPr>
                <w:color w:val="ED7D31" w:themeColor="accent2"/>
                <w:sz w:val="20"/>
                <w:szCs w:val="20"/>
                <w:lang w:val="fr-FR"/>
              </w:rPr>
              <w:t>(</w:t>
            </w:r>
            <w:r w:rsidR="00BB74DB">
              <w:rPr>
                <w:color w:val="ED7D31" w:themeColor="accent2"/>
                <w:sz w:val="20"/>
                <w:szCs w:val="20"/>
                <w:lang w:val="fr-FR"/>
              </w:rPr>
              <w:t>fonds communs</w:t>
            </w:r>
            <w:r w:rsidR="00997566">
              <w:rPr>
                <w:color w:val="ED7D31" w:themeColor="accent2"/>
                <w:sz w:val="20"/>
                <w:szCs w:val="20"/>
                <w:lang w:val="fr-FR"/>
              </w:rPr>
              <w:t>)</w:t>
            </w:r>
          </w:p>
          <w:p w14:paraId="7058E58B" w14:textId="53DEE4CF" w:rsidR="00C12F02" w:rsidRPr="00BD3D80" w:rsidRDefault="00C12F02" w:rsidP="00997566">
            <w:pPr>
              <w:pStyle w:val="ListParagraph"/>
              <w:numPr>
                <w:ilvl w:val="0"/>
                <w:numId w:val="18"/>
              </w:numPr>
              <w:rPr>
                <w:lang w:val="fr-FR"/>
              </w:rPr>
            </w:pPr>
            <w:r w:rsidRPr="00D2614B">
              <w:rPr>
                <w:sz w:val="20"/>
                <w:szCs w:val="20"/>
                <w:lang w:val="fr-FR"/>
              </w:rPr>
              <w:t xml:space="preserve">Nombre </w:t>
            </w:r>
            <w:r w:rsidR="00590988">
              <w:rPr>
                <w:sz w:val="20"/>
                <w:szCs w:val="20"/>
                <w:lang w:val="fr-FR"/>
              </w:rPr>
              <w:t>de parties prenantes</w:t>
            </w:r>
            <w:r w:rsidR="00590988" w:rsidRPr="00D2614B">
              <w:rPr>
                <w:sz w:val="20"/>
                <w:szCs w:val="20"/>
                <w:lang w:val="fr-FR"/>
              </w:rPr>
              <w:t xml:space="preserve"> </w:t>
            </w:r>
            <w:r w:rsidR="00D2614B" w:rsidRPr="00D2614B">
              <w:rPr>
                <w:sz w:val="20"/>
                <w:szCs w:val="20"/>
                <w:lang w:val="fr-FR"/>
              </w:rPr>
              <w:t xml:space="preserve">des </w:t>
            </w:r>
            <w:r w:rsidRPr="00D2614B">
              <w:rPr>
                <w:sz w:val="20"/>
                <w:szCs w:val="20"/>
                <w:lang w:val="fr-FR"/>
              </w:rPr>
              <w:t>ASC dans le domaine de la nutrition dans le pays qui rendent compte de leurs engagements</w:t>
            </w:r>
            <w:r>
              <w:rPr>
                <w:lang w:val="fr-FR"/>
              </w:rPr>
              <w:t xml:space="preserve">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w:t>
            </w:r>
          </w:p>
        </w:tc>
      </w:tr>
      <w:tr w:rsidR="003D1EE0" w14:paraId="5DC6DFA0" w14:textId="77777777" w:rsidTr="00DB44FD">
        <w:tc>
          <w:tcPr>
            <w:tcW w:w="9634" w:type="dxa"/>
            <w:gridSpan w:val="2"/>
          </w:tcPr>
          <w:p w14:paraId="31DF4781" w14:textId="5CBCCD3D" w:rsidR="003D1EE0" w:rsidRDefault="003D1EE0" w:rsidP="00354CE4">
            <w:r>
              <w:rPr>
                <w:b/>
                <w:bCs/>
                <w:lang w:val="fr-FR"/>
              </w:rPr>
              <w:t>Résultat intermédiaire</w:t>
            </w:r>
            <w:r w:rsidR="002C54BD">
              <w:rPr>
                <w:b/>
                <w:bCs/>
                <w:lang w:val="fr-FR"/>
              </w:rPr>
              <w:t> </w:t>
            </w:r>
            <w:r>
              <w:rPr>
                <w:b/>
                <w:bCs/>
                <w:lang w:val="fr-FR"/>
              </w:rPr>
              <w:t>3</w:t>
            </w:r>
          </w:p>
        </w:tc>
      </w:tr>
      <w:tr w:rsidR="00CF72FE" w:rsidRPr="005F1481" w14:paraId="61C3B58D" w14:textId="77777777" w:rsidTr="00DB44FD">
        <w:tc>
          <w:tcPr>
            <w:tcW w:w="3256" w:type="dxa"/>
          </w:tcPr>
          <w:p w14:paraId="317DED12" w14:textId="28FCAC85" w:rsidR="00CF72FE" w:rsidRPr="00BD3D80" w:rsidRDefault="00CF72FE" w:rsidP="00B60196">
            <w:pPr>
              <w:rPr>
                <w:rFonts w:eastAsia="Times New Roman" w:cstheme="majorHAnsi"/>
                <w:color w:val="000000"/>
                <w:sz w:val="20"/>
                <w:szCs w:val="20"/>
                <w:lang w:val="fr-FR"/>
              </w:rPr>
            </w:pPr>
            <w:r>
              <w:rPr>
                <w:rFonts w:eastAsia="Times New Roman" w:cstheme="majorHAnsi"/>
                <w:color w:val="000000"/>
                <w:sz w:val="20"/>
                <w:szCs w:val="20"/>
                <w:lang w:val="fr-FR"/>
              </w:rPr>
              <w:t xml:space="preserve">3.1) Les gouvernements réagissent aux pressions du public et doivent rendre des comptes </w:t>
            </w:r>
            <w:r w:rsidR="00FC2B05">
              <w:rPr>
                <w:rFonts w:eastAsia="Times New Roman" w:cstheme="majorHAnsi"/>
                <w:color w:val="000000"/>
                <w:sz w:val="20"/>
                <w:szCs w:val="20"/>
                <w:lang w:val="fr-FR"/>
              </w:rPr>
              <w:t xml:space="preserve">sur </w:t>
            </w:r>
            <w:r>
              <w:rPr>
                <w:rFonts w:eastAsia="Times New Roman" w:cstheme="majorHAnsi"/>
                <w:color w:val="000000"/>
                <w:sz w:val="20"/>
                <w:szCs w:val="20"/>
                <w:lang w:val="fr-FR"/>
              </w:rPr>
              <w:t xml:space="preserve">leurs engagements en matière de nutrition et présenter des mises à jour </w:t>
            </w:r>
            <w:r w:rsidR="005F1481">
              <w:rPr>
                <w:rFonts w:eastAsia="Times New Roman" w:cstheme="majorHAnsi"/>
                <w:color w:val="000000"/>
                <w:sz w:val="20"/>
                <w:szCs w:val="20"/>
                <w:lang w:val="fr-FR"/>
              </w:rPr>
              <w:t xml:space="preserve">régulières </w:t>
            </w:r>
            <w:r>
              <w:rPr>
                <w:rFonts w:eastAsia="Times New Roman" w:cstheme="majorHAnsi"/>
                <w:color w:val="000000"/>
                <w:sz w:val="20"/>
                <w:szCs w:val="20"/>
                <w:lang w:val="fr-FR"/>
              </w:rPr>
              <w:t xml:space="preserve">sur les progrès </w:t>
            </w:r>
          </w:p>
        </w:tc>
        <w:tc>
          <w:tcPr>
            <w:tcW w:w="6378" w:type="dxa"/>
          </w:tcPr>
          <w:p w14:paraId="0DAECDE8" w14:textId="0C6D8025" w:rsidR="00CF72FE" w:rsidRPr="00BD3D80" w:rsidRDefault="00760003" w:rsidP="00354CE4">
            <w:pPr>
              <w:pStyle w:val="ListParagraph"/>
              <w:numPr>
                <w:ilvl w:val="0"/>
                <w:numId w:val="18"/>
              </w:numPr>
              <w:rPr>
                <w:rFonts w:eastAsia="Times New Roman" w:cstheme="majorHAnsi"/>
                <w:sz w:val="20"/>
                <w:szCs w:val="20"/>
                <w:lang w:val="fr-FR"/>
              </w:rPr>
            </w:pPr>
            <w:r>
              <w:rPr>
                <w:rFonts w:eastAsia="Times New Roman" w:cstheme="majorHAnsi"/>
                <w:sz w:val="20"/>
                <w:szCs w:val="20"/>
                <w:lang w:val="fr-FR"/>
              </w:rPr>
              <w:t>Augmentation de la quantité ou de la qualité des événements publics organisés pour présenter et discuter des progrès réalisés par rapport aux engagements (nombre d</w:t>
            </w:r>
            <w:r w:rsidR="002C54BD">
              <w:rPr>
                <w:rFonts w:eastAsia="Times New Roman" w:cstheme="majorHAnsi"/>
                <w:sz w:val="20"/>
                <w:szCs w:val="20"/>
                <w:lang w:val="fr-FR"/>
              </w:rPr>
              <w:t>’</w:t>
            </w:r>
            <w:r>
              <w:rPr>
                <w:rFonts w:eastAsia="Times New Roman" w:cstheme="majorHAnsi"/>
                <w:sz w:val="20"/>
                <w:szCs w:val="20"/>
                <w:lang w:val="fr-FR"/>
              </w:rPr>
              <w:t>événements</w:t>
            </w:r>
            <w:r w:rsidR="002C54BD">
              <w:rPr>
                <w:rFonts w:eastAsia="Times New Roman" w:cstheme="majorHAnsi"/>
                <w:sz w:val="20"/>
                <w:szCs w:val="20"/>
                <w:lang w:val="fr-FR"/>
              </w:rPr>
              <w:t> </w:t>
            </w:r>
            <w:r>
              <w:rPr>
                <w:rFonts w:eastAsia="Times New Roman" w:cstheme="majorHAnsi"/>
                <w:sz w:val="20"/>
                <w:szCs w:val="20"/>
                <w:lang w:val="fr-FR"/>
              </w:rPr>
              <w:t xml:space="preserve">; exhaustivité des données présentées </w:t>
            </w:r>
            <w:r w:rsidR="005F1481">
              <w:rPr>
                <w:rFonts w:eastAsia="Times New Roman" w:cstheme="majorHAnsi"/>
                <w:sz w:val="20"/>
                <w:szCs w:val="20"/>
                <w:lang w:val="fr-FR"/>
              </w:rPr>
              <w:t>à</w:t>
            </w:r>
            <w:r>
              <w:rPr>
                <w:rFonts w:eastAsia="Times New Roman" w:cstheme="majorHAnsi"/>
                <w:sz w:val="20"/>
                <w:szCs w:val="20"/>
                <w:lang w:val="fr-FR"/>
              </w:rPr>
              <w:t xml:space="preserve"> chaque événement)</w:t>
            </w:r>
          </w:p>
          <w:p w14:paraId="613A5105" w14:textId="35175D92" w:rsidR="000719AF" w:rsidRPr="00BD3D80" w:rsidRDefault="009C0C7F" w:rsidP="00354CE4">
            <w:pPr>
              <w:pStyle w:val="ListParagraph"/>
              <w:numPr>
                <w:ilvl w:val="0"/>
                <w:numId w:val="18"/>
              </w:numPr>
              <w:rPr>
                <w:rFonts w:eastAsia="Times New Roman" w:cstheme="majorHAnsi"/>
                <w:sz w:val="20"/>
                <w:szCs w:val="20"/>
                <w:lang w:val="fr-FR"/>
              </w:rPr>
            </w:pPr>
            <w:r>
              <w:rPr>
                <w:rFonts w:eastAsia="Times New Roman" w:cstheme="majorHAnsi"/>
                <w:sz w:val="20"/>
                <w:szCs w:val="20"/>
                <w:lang w:val="fr-FR"/>
              </w:rPr>
              <w:t>Couverture médiatique efficace sur la nutrition</w:t>
            </w:r>
            <w:r w:rsidR="002C54BD">
              <w:rPr>
                <w:rFonts w:eastAsia="Times New Roman" w:cstheme="majorHAnsi"/>
                <w:sz w:val="20"/>
                <w:szCs w:val="20"/>
                <w:lang w:val="fr-FR"/>
              </w:rPr>
              <w:t> </w:t>
            </w:r>
            <w:r>
              <w:rPr>
                <w:rFonts w:eastAsia="Times New Roman" w:cstheme="majorHAnsi"/>
                <w:sz w:val="20"/>
                <w:szCs w:val="20"/>
                <w:lang w:val="fr-FR"/>
              </w:rPr>
              <w:t>: nombre d</w:t>
            </w:r>
            <w:r w:rsidR="002C54BD">
              <w:rPr>
                <w:rFonts w:eastAsia="Times New Roman" w:cstheme="majorHAnsi"/>
                <w:sz w:val="20"/>
                <w:szCs w:val="20"/>
                <w:lang w:val="fr-FR"/>
              </w:rPr>
              <w:t>’</w:t>
            </w:r>
            <w:r>
              <w:rPr>
                <w:rFonts w:eastAsia="Times New Roman" w:cstheme="majorHAnsi"/>
                <w:sz w:val="20"/>
                <w:szCs w:val="20"/>
                <w:lang w:val="fr-FR"/>
              </w:rPr>
              <w:t>articles, d</w:t>
            </w:r>
            <w:r w:rsidR="002C54BD">
              <w:rPr>
                <w:rFonts w:eastAsia="Times New Roman" w:cstheme="majorHAnsi"/>
                <w:sz w:val="20"/>
                <w:szCs w:val="20"/>
                <w:lang w:val="fr-FR"/>
              </w:rPr>
              <w:t>’</w:t>
            </w:r>
            <w:r>
              <w:rPr>
                <w:rFonts w:eastAsia="Times New Roman" w:cstheme="majorHAnsi"/>
                <w:sz w:val="20"/>
                <w:szCs w:val="20"/>
                <w:lang w:val="fr-FR"/>
              </w:rPr>
              <w:t>infos, de messages qui ont stimulé l</w:t>
            </w:r>
            <w:r w:rsidR="002C54BD">
              <w:rPr>
                <w:rFonts w:eastAsia="Times New Roman" w:cstheme="majorHAnsi"/>
                <w:sz w:val="20"/>
                <w:szCs w:val="20"/>
                <w:lang w:val="fr-FR"/>
              </w:rPr>
              <w:t>’</w:t>
            </w:r>
            <w:r>
              <w:rPr>
                <w:rFonts w:eastAsia="Times New Roman" w:cstheme="majorHAnsi"/>
                <w:sz w:val="20"/>
                <w:szCs w:val="20"/>
                <w:lang w:val="fr-FR"/>
              </w:rPr>
              <w:t>action/la réponse des décideurs politiques, des dirigeants ou des citoyens</w:t>
            </w:r>
          </w:p>
          <w:p w14:paraId="526DE8BB" w14:textId="68FD7429" w:rsidR="00F7365F" w:rsidRPr="00BD3D80" w:rsidRDefault="00F7365F" w:rsidP="00F7365F">
            <w:pPr>
              <w:pStyle w:val="ListParagraph"/>
              <w:numPr>
                <w:ilvl w:val="0"/>
                <w:numId w:val="18"/>
              </w:numPr>
              <w:rPr>
                <w:rFonts w:eastAsia="Times New Roman" w:cstheme="majorHAnsi"/>
                <w:sz w:val="20"/>
                <w:szCs w:val="20"/>
                <w:lang w:val="fr-FR"/>
              </w:rPr>
            </w:pPr>
            <w:r>
              <w:rPr>
                <w:rFonts w:eastAsia="Times New Roman" w:cstheme="majorHAnsi"/>
                <w:sz w:val="20"/>
                <w:szCs w:val="20"/>
                <w:lang w:val="fr-FR"/>
              </w:rPr>
              <w:t>Hausse du pourcentage de femmes et de jeunes conscients de leurs droits à l</w:t>
            </w:r>
            <w:r w:rsidR="002C54BD">
              <w:rPr>
                <w:rFonts w:eastAsia="Times New Roman" w:cstheme="majorHAnsi"/>
                <w:sz w:val="20"/>
                <w:szCs w:val="20"/>
                <w:lang w:val="fr-FR"/>
              </w:rPr>
              <w:t>’</w:t>
            </w:r>
            <w:r>
              <w:rPr>
                <w:rFonts w:eastAsia="Times New Roman" w:cstheme="majorHAnsi"/>
                <w:sz w:val="20"/>
                <w:szCs w:val="20"/>
                <w:lang w:val="fr-FR"/>
              </w:rPr>
              <w:t>alimentation et à la nutrition, et nombre d</w:t>
            </w:r>
            <w:r w:rsidR="002C54BD">
              <w:rPr>
                <w:rFonts w:eastAsia="Times New Roman" w:cstheme="majorHAnsi"/>
                <w:sz w:val="20"/>
                <w:szCs w:val="20"/>
                <w:lang w:val="fr-FR"/>
              </w:rPr>
              <w:t>’</w:t>
            </w:r>
            <w:r>
              <w:rPr>
                <w:rFonts w:eastAsia="Times New Roman" w:cstheme="majorHAnsi"/>
                <w:sz w:val="20"/>
                <w:szCs w:val="20"/>
                <w:lang w:val="fr-FR"/>
              </w:rPr>
              <w:t xml:space="preserve">actions des ASC pour les aider à mobiliser les législateurs locaux ou nationaux et les autorités informelles </w:t>
            </w:r>
          </w:p>
          <w:p w14:paraId="46FC8D40" w14:textId="5D10F056" w:rsidR="00B257DD" w:rsidRPr="005F1481" w:rsidRDefault="00B97680" w:rsidP="00354CE4">
            <w:pPr>
              <w:pStyle w:val="ListParagraph"/>
              <w:numPr>
                <w:ilvl w:val="0"/>
                <w:numId w:val="18"/>
              </w:numPr>
              <w:rPr>
                <w:rFonts w:eastAsia="Times New Roman" w:cstheme="majorHAnsi"/>
                <w:sz w:val="20"/>
                <w:szCs w:val="20"/>
                <w:lang w:val="fr-FR"/>
              </w:rPr>
            </w:pPr>
            <w:r>
              <w:rPr>
                <w:rFonts w:eastAsia="Times New Roman" w:cstheme="majorHAnsi"/>
                <w:sz w:val="20"/>
                <w:szCs w:val="20"/>
                <w:lang w:val="fr-FR"/>
              </w:rPr>
              <w:t>Nombre de citoyens mobilisés assistant à des déclarations ou au réexamen d</w:t>
            </w:r>
            <w:r w:rsidR="002C54BD">
              <w:rPr>
                <w:rFonts w:eastAsia="Times New Roman" w:cstheme="majorHAnsi"/>
                <w:sz w:val="20"/>
                <w:szCs w:val="20"/>
                <w:lang w:val="fr-FR"/>
              </w:rPr>
              <w:t>’</w:t>
            </w:r>
            <w:r>
              <w:rPr>
                <w:rFonts w:eastAsia="Times New Roman" w:cstheme="majorHAnsi"/>
                <w:sz w:val="20"/>
                <w:szCs w:val="20"/>
                <w:lang w:val="fr-FR"/>
              </w:rPr>
              <w:t>engagements publics (en personne ou virtuellement) ou réclamant de telles déclarations ou réexamens, p. ex. participation à des campagnes publiques, à des auditions publiques, à des campagnes radiophoniques ou virtuelles, etc.</w:t>
            </w:r>
            <w:r w:rsidR="00C26CAB">
              <w:rPr>
                <w:rFonts w:eastAsia="Times New Roman" w:cstheme="majorHAnsi"/>
                <w:sz w:val="20"/>
                <w:szCs w:val="20"/>
                <w:lang w:val="fr-FR"/>
              </w:rPr>
              <w:t xml:space="preserve"> </w:t>
            </w:r>
            <w:r>
              <w:rPr>
                <w:rFonts w:eastAsia="Times New Roman" w:cstheme="majorHAnsi"/>
                <w:color w:val="70AD47" w:themeColor="accent6"/>
                <w:sz w:val="20"/>
                <w:szCs w:val="20"/>
                <w:lang w:val="fr-FR"/>
              </w:rPr>
              <w:t>(</w:t>
            </w:r>
            <w:r w:rsidR="005F1481">
              <w:rPr>
                <w:rFonts w:eastAsia="Times New Roman" w:cstheme="majorHAnsi"/>
                <w:color w:val="70AD47" w:themeColor="accent6"/>
                <w:sz w:val="20"/>
                <w:szCs w:val="20"/>
                <w:lang w:val="fr-FR"/>
              </w:rPr>
              <w:t>ventilation par sexe)</w:t>
            </w:r>
          </w:p>
        </w:tc>
      </w:tr>
      <w:tr w:rsidR="00CF72FE" w:rsidRPr="00880085" w14:paraId="59727512" w14:textId="77777777" w:rsidTr="00DB44FD">
        <w:tc>
          <w:tcPr>
            <w:tcW w:w="3256" w:type="dxa"/>
          </w:tcPr>
          <w:p w14:paraId="2C18D23E" w14:textId="77777777" w:rsidR="00CF72FE" w:rsidRPr="00BD3D80" w:rsidRDefault="00CF72FE" w:rsidP="00B60196">
            <w:pPr>
              <w:rPr>
                <w:rFonts w:eastAsia="Times New Roman" w:cstheme="majorHAnsi"/>
                <w:color w:val="000000"/>
                <w:sz w:val="20"/>
                <w:szCs w:val="20"/>
                <w:lang w:val="fr-FR"/>
              </w:rPr>
            </w:pPr>
            <w:r>
              <w:rPr>
                <w:rFonts w:eastAsia="Times New Roman" w:cstheme="majorHAnsi"/>
                <w:color w:val="000000"/>
                <w:sz w:val="20"/>
                <w:szCs w:val="20"/>
                <w:lang w:val="fr-FR"/>
              </w:rPr>
              <w:t>3.2) Les gouvernements ont une idée claire des progrès et des défis et sont en possession de données récentes pour améliorer et accélérer les plans de mise en œuvre.</w:t>
            </w:r>
          </w:p>
        </w:tc>
        <w:tc>
          <w:tcPr>
            <w:tcW w:w="6378" w:type="dxa"/>
          </w:tcPr>
          <w:p w14:paraId="22E72AB9" w14:textId="6CB1453C" w:rsidR="00B257DD" w:rsidRPr="00BD3D80" w:rsidRDefault="00B97680" w:rsidP="00354CE4">
            <w:pPr>
              <w:pStyle w:val="ListParagraph"/>
              <w:numPr>
                <w:ilvl w:val="0"/>
                <w:numId w:val="18"/>
              </w:numPr>
              <w:rPr>
                <w:rFonts w:eastAsia="Times New Roman" w:cstheme="majorHAnsi"/>
                <w:sz w:val="20"/>
                <w:szCs w:val="20"/>
                <w:lang w:val="fr-FR"/>
              </w:rPr>
            </w:pPr>
            <w:r>
              <w:rPr>
                <w:rFonts w:eastAsia="Times New Roman" w:cstheme="majorHAnsi"/>
                <w:sz w:val="20"/>
                <w:szCs w:val="20"/>
                <w:lang w:val="fr-FR"/>
              </w:rPr>
              <w:t>Nombre et type d</w:t>
            </w:r>
            <w:r w:rsidR="002C54BD">
              <w:rPr>
                <w:rFonts w:eastAsia="Times New Roman" w:cstheme="majorHAnsi"/>
                <w:sz w:val="20"/>
                <w:szCs w:val="20"/>
                <w:lang w:val="fr-FR"/>
              </w:rPr>
              <w:t>’</w:t>
            </w:r>
            <w:r>
              <w:rPr>
                <w:rFonts w:eastAsia="Times New Roman" w:cstheme="majorHAnsi"/>
                <w:sz w:val="20"/>
                <w:szCs w:val="20"/>
                <w:lang w:val="fr-FR"/>
              </w:rPr>
              <w:t xml:space="preserve">actions/délibérations du gouvernement basées sur des données fiables et actualisées, </w:t>
            </w:r>
            <w:r w:rsidR="00624112">
              <w:rPr>
                <w:rFonts w:eastAsia="Times New Roman" w:cstheme="majorHAnsi"/>
                <w:sz w:val="20"/>
                <w:szCs w:val="20"/>
                <w:lang w:val="fr-FR"/>
              </w:rPr>
              <w:t xml:space="preserve">élaborées </w:t>
            </w:r>
            <w:r>
              <w:rPr>
                <w:rFonts w:eastAsia="Times New Roman" w:cstheme="majorHAnsi"/>
                <w:sz w:val="20"/>
                <w:szCs w:val="20"/>
                <w:lang w:val="fr-FR"/>
              </w:rPr>
              <w:t>par/en collaboration avec les ASC</w:t>
            </w:r>
          </w:p>
          <w:p w14:paraId="21295522" w14:textId="5C909F62" w:rsidR="00997566" w:rsidRPr="00BD3D80" w:rsidRDefault="00B97680" w:rsidP="003A6AED">
            <w:pPr>
              <w:pStyle w:val="ListParagraph"/>
              <w:numPr>
                <w:ilvl w:val="0"/>
                <w:numId w:val="23"/>
              </w:numPr>
              <w:spacing w:before="60" w:after="60"/>
              <w:ind w:left="720" w:hanging="314"/>
              <w:contextualSpacing w:val="0"/>
              <w:jc w:val="left"/>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 xml:space="preserve">organismes et de personnes auxquels les ASC ont transmis des </w:t>
            </w:r>
            <w:r w:rsidR="003A6AED">
              <w:rPr>
                <w:rFonts w:eastAsia="Times New Roman" w:cstheme="majorHAnsi"/>
                <w:sz w:val="20"/>
                <w:szCs w:val="20"/>
                <w:lang w:val="fr-FR"/>
              </w:rPr>
              <w:t>notes</w:t>
            </w:r>
            <w:r>
              <w:rPr>
                <w:rFonts w:eastAsia="Times New Roman" w:cstheme="majorHAnsi"/>
                <w:sz w:val="20"/>
                <w:szCs w:val="20"/>
                <w:lang w:val="fr-FR"/>
              </w:rPr>
              <w:t xml:space="preserve"> d</w:t>
            </w:r>
            <w:r w:rsidR="002C54BD">
              <w:rPr>
                <w:rFonts w:eastAsia="Times New Roman" w:cstheme="majorHAnsi"/>
                <w:sz w:val="20"/>
                <w:szCs w:val="20"/>
                <w:lang w:val="fr-FR"/>
              </w:rPr>
              <w:t>’</w:t>
            </w:r>
            <w:r>
              <w:rPr>
                <w:rFonts w:eastAsia="Times New Roman" w:cstheme="majorHAnsi"/>
                <w:sz w:val="20"/>
                <w:szCs w:val="20"/>
                <w:lang w:val="fr-FR"/>
              </w:rPr>
              <w:t xml:space="preserve">information, des données et des propositions visant à améliorer et à rendre opérationnel le PNN au niveau national et infranational </w:t>
            </w:r>
            <w:r>
              <w:rPr>
                <w:rFonts w:eastAsia="Times New Roman" w:cstheme="majorHAnsi"/>
                <w:color w:val="70AD47" w:themeColor="accent6"/>
                <w:sz w:val="20"/>
                <w:szCs w:val="20"/>
                <w:lang w:val="fr-FR"/>
              </w:rPr>
              <w:t xml:space="preserve">(ventilation </w:t>
            </w:r>
            <w:r w:rsidR="005F1481">
              <w:rPr>
                <w:rFonts w:eastAsia="Times New Roman" w:cstheme="majorHAnsi"/>
                <w:color w:val="70AD47" w:themeColor="accent6"/>
                <w:sz w:val="20"/>
                <w:szCs w:val="20"/>
                <w:lang w:val="fr-FR"/>
              </w:rPr>
              <w:t>par</w:t>
            </w:r>
            <w:r>
              <w:rPr>
                <w:rFonts w:eastAsia="Times New Roman" w:cstheme="majorHAnsi"/>
                <w:color w:val="70AD47" w:themeColor="accent6"/>
                <w:sz w:val="20"/>
                <w:szCs w:val="20"/>
                <w:lang w:val="fr-FR"/>
              </w:rPr>
              <w:t xml:space="preserve"> sexe)</w:t>
            </w:r>
          </w:p>
          <w:p w14:paraId="588AB683" w14:textId="5C318E39" w:rsidR="00997566" w:rsidRPr="00BD3D80" w:rsidRDefault="00997566" w:rsidP="003A6AED">
            <w:pPr>
              <w:pStyle w:val="ListParagraph"/>
              <w:numPr>
                <w:ilvl w:val="0"/>
                <w:numId w:val="23"/>
              </w:numPr>
              <w:spacing w:before="60" w:after="60"/>
              <w:ind w:left="720" w:hanging="314"/>
              <w:contextualSpacing w:val="0"/>
              <w:jc w:val="left"/>
              <w:rPr>
                <w:rFonts w:eastAsia="Times New Roman" w:cstheme="majorHAnsi"/>
                <w:sz w:val="20"/>
                <w:szCs w:val="20"/>
                <w:lang w:val="fr-FR"/>
              </w:rPr>
            </w:pPr>
            <w:r>
              <w:rPr>
                <w:sz w:val="20"/>
                <w:szCs w:val="20"/>
                <w:lang w:val="fr-FR"/>
              </w:rPr>
              <w:t xml:space="preserve">Meilleure qualité des données reçues par le gouvernement de la part des ASC concernant la redevabilité et les progrès réalisés dans le cadre des engagements existants </w:t>
            </w:r>
            <w:r>
              <w:rPr>
                <w:color w:val="ED7D31" w:themeColor="accent2"/>
                <w:sz w:val="20"/>
                <w:szCs w:val="20"/>
                <w:lang w:val="fr-FR"/>
              </w:rPr>
              <w:t>(</w:t>
            </w:r>
            <w:r w:rsidR="00BB74DB">
              <w:rPr>
                <w:color w:val="ED7D31" w:themeColor="accent2"/>
                <w:sz w:val="20"/>
                <w:szCs w:val="20"/>
                <w:lang w:val="fr-FR"/>
              </w:rPr>
              <w:t>fonds communs</w:t>
            </w:r>
            <w:r>
              <w:rPr>
                <w:color w:val="ED7D31" w:themeColor="accent2"/>
                <w:sz w:val="20"/>
                <w:szCs w:val="20"/>
                <w:lang w:val="fr-FR"/>
              </w:rPr>
              <w:t xml:space="preserve"> Produit</w:t>
            </w:r>
            <w:r w:rsidR="002C54BD">
              <w:rPr>
                <w:color w:val="ED7D31" w:themeColor="accent2"/>
                <w:sz w:val="20"/>
                <w:szCs w:val="20"/>
                <w:lang w:val="fr-FR"/>
              </w:rPr>
              <w:t> </w:t>
            </w:r>
            <w:r>
              <w:rPr>
                <w:color w:val="ED7D31" w:themeColor="accent2"/>
                <w:sz w:val="20"/>
                <w:szCs w:val="20"/>
                <w:lang w:val="fr-FR"/>
              </w:rPr>
              <w:t>3.3.1)</w:t>
            </w:r>
          </w:p>
          <w:p w14:paraId="4F465D34" w14:textId="475B55F0" w:rsidR="00997566" w:rsidRPr="00BD3D80" w:rsidRDefault="00997566" w:rsidP="00997566">
            <w:pPr>
              <w:pStyle w:val="ListParagraph"/>
              <w:tabs>
                <w:tab w:val="left" w:pos="884"/>
                <w:tab w:val="right" w:pos="3294"/>
              </w:tabs>
              <w:spacing w:before="60" w:after="60"/>
              <w:contextualSpacing w:val="0"/>
              <w:jc w:val="left"/>
              <w:rPr>
                <w:rFonts w:eastAsia="Times New Roman" w:cstheme="majorHAnsi"/>
                <w:sz w:val="20"/>
                <w:szCs w:val="20"/>
                <w:lang w:val="fr-FR"/>
              </w:rPr>
            </w:pPr>
          </w:p>
        </w:tc>
      </w:tr>
      <w:tr w:rsidR="00CF72FE" w:rsidRPr="00880085" w14:paraId="5D76D76B" w14:textId="77777777" w:rsidTr="00DB44FD">
        <w:tc>
          <w:tcPr>
            <w:tcW w:w="3256" w:type="dxa"/>
          </w:tcPr>
          <w:p w14:paraId="170223EF" w14:textId="60F3853C" w:rsidR="00CF72FE" w:rsidRPr="00BD3D80" w:rsidRDefault="00CF72FE" w:rsidP="00354CE4">
            <w:pPr>
              <w:rPr>
                <w:rFonts w:eastAsia="Times New Roman" w:cstheme="majorHAnsi"/>
                <w:color w:val="000000"/>
                <w:sz w:val="20"/>
                <w:szCs w:val="20"/>
                <w:lang w:val="fr-FR"/>
              </w:rPr>
            </w:pPr>
            <w:r>
              <w:rPr>
                <w:rFonts w:eastAsia="Times New Roman" w:cstheme="majorHAnsi"/>
                <w:color w:val="000000"/>
                <w:sz w:val="20"/>
                <w:szCs w:val="20"/>
                <w:lang w:val="fr-FR"/>
              </w:rPr>
              <w:lastRenderedPageBreak/>
              <w:t xml:space="preserve">3.3) Les gouvernements et les partenaires de mise en œuvre coordonnent efficacement les </w:t>
            </w:r>
            <w:r w:rsidR="0029661A">
              <w:rPr>
                <w:rFonts w:eastAsia="Times New Roman" w:cstheme="majorHAnsi"/>
                <w:color w:val="000000"/>
                <w:sz w:val="20"/>
                <w:szCs w:val="20"/>
                <w:lang w:val="fr-FR"/>
              </w:rPr>
              <w:t>plans de nutrition</w:t>
            </w:r>
            <w:r>
              <w:rPr>
                <w:rFonts w:eastAsia="Times New Roman" w:cstheme="majorHAnsi"/>
                <w:color w:val="000000"/>
                <w:sz w:val="20"/>
                <w:szCs w:val="20"/>
                <w:lang w:val="fr-FR"/>
              </w:rPr>
              <w:t xml:space="preserve"> et ont les capacités et les ressources pour les mettre en œuvre </w:t>
            </w:r>
          </w:p>
        </w:tc>
        <w:tc>
          <w:tcPr>
            <w:tcW w:w="6378" w:type="dxa"/>
          </w:tcPr>
          <w:p w14:paraId="62078C32" w14:textId="0B15CC2C" w:rsidR="00E65E29" w:rsidRPr="00BD3D80" w:rsidRDefault="00E65E29" w:rsidP="00354CE4">
            <w:pPr>
              <w:pStyle w:val="ListParagraph"/>
              <w:numPr>
                <w:ilvl w:val="0"/>
                <w:numId w:val="18"/>
              </w:numPr>
              <w:rPr>
                <w:rFonts w:eastAsia="Times New Roman" w:cstheme="majorHAnsi"/>
                <w:sz w:val="20"/>
                <w:szCs w:val="20"/>
                <w:lang w:val="fr-FR"/>
              </w:rPr>
            </w:pPr>
            <w:bookmarkStart w:id="17" w:name="_Hlk509053587"/>
            <w:r>
              <w:rPr>
                <w:rFonts w:eastAsia="Times New Roman" w:cstheme="majorHAnsi"/>
                <w:sz w:val="20"/>
                <w:szCs w:val="20"/>
                <w:lang w:val="fr-FR"/>
              </w:rPr>
              <w:t xml:space="preserve">Nombre de plateformes </w:t>
            </w:r>
            <w:proofErr w:type="spellStart"/>
            <w:r>
              <w:rPr>
                <w:rFonts w:eastAsia="Times New Roman" w:cstheme="majorHAnsi"/>
                <w:sz w:val="20"/>
                <w:szCs w:val="20"/>
                <w:lang w:val="fr-FR"/>
              </w:rPr>
              <w:t>multiacteurs</w:t>
            </w:r>
            <w:proofErr w:type="spellEnd"/>
            <w:r>
              <w:rPr>
                <w:rFonts w:eastAsia="Times New Roman" w:cstheme="majorHAnsi"/>
                <w:sz w:val="20"/>
                <w:szCs w:val="20"/>
                <w:lang w:val="fr-FR"/>
              </w:rPr>
              <w:t xml:space="preserve"> fonctionnant efficacement au niveau national ou infranational. (Fonctionnement des plateformes </w:t>
            </w:r>
            <w:proofErr w:type="spellStart"/>
            <w:r>
              <w:rPr>
                <w:rFonts w:eastAsia="Times New Roman" w:cstheme="majorHAnsi"/>
                <w:sz w:val="20"/>
                <w:szCs w:val="20"/>
                <w:lang w:val="fr-FR"/>
              </w:rPr>
              <w:t>multiacteurs</w:t>
            </w:r>
            <w:proofErr w:type="spellEnd"/>
            <w:r>
              <w:rPr>
                <w:rFonts w:eastAsia="Times New Roman" w:cstheme="majorHAnsi"/>
                <w:sz w:val="20"/>
                <w:szCs w:val="20"/>
                <w:lang w:val="fr-FR"/>
              </w:rPr>
              <w:t xml:space="preserve"> : sélectionner les critères dans le tableau </w:t>
            </w:r>
            <w:r w:rsidR="00F261F1">
              <w:rPr>
                <w:rFonts w:eastAsia="Times New Roman" w:cstheme="majorHAnsi"/>
                <w:sz w:val="20"/>
                <w:szCs w:val="20"/>
                <w:lang w:val="fr-FR"/>
              </w:rPr>
              <w:t xml:space="preserve">des indices </w:t>
            </w:r>
            <w:r>
              <w:rPr>
                <w:rFonts w:eastAsia="Times New Roman" w:cstheme="majorHAnsi"/>
                <w:sz w:val="20"/>
                <w:szCs w:val="20"/>
                <w:lang w:val="fr-FR"/>
              </w:rPr>
              <w:t>de l</w:t>
            </w:r>
            <w:r w:rsidR="002C54BD">
              <w:rPr>
                <w:rFonts w:eastAsia="Times New Roman" w:cstheme="majorHAnsi"/>
                <w:sz w:val="20"/>
                <w:szCs w:val="20"/>
                <w:lang w:val="fr-FR"/>
              </w:rPr>
              <w:t>’</w:t>
            </w:r>
            <w:r>
              <w:rPr>
                <w:rFonts w:eastAsia="Times New Roman" w:cstheme="majorHAnsi"/>
                <w:sz w:val="20"/>
                <w:szCs w:val="20"/>
                <w:lang w:val="fr-FR"/>
              </w:rPr>
              <w:t>annexe</w:t>
            </w:r>
            <w:r w:rsidR="002C54BD">
              <w:rPr>
                <w:rFonts w:eastAsia="Times New Roman" w:cstheme="majorHAnsi"/>
                <w:sz w:val="20"/>
                <w:szCs w:val="20"/>
                <w:lang w:val="fr-FR"/>
              </w:rPr>
              <w:t> </w:t>
            </w:r>
            <w:r>
              <w:rPr>
                <w:rFonts w:eastAsia="Times New Roman" w:cstheme="majorHAnsi"/>
                <w:sz w:val="20"/>
                <w:szCs w:val="20"/>
                <w:lang w:val="fr-FR"/>
              </w:rPr>
              <w:t xml:space="preserve">1) </w:t>
            </w:r>
            <w:bookmarkEnd w:id="17"/>
          </w:p>
          <w:p w14:paraId="737B2C1F" w14:textId="42CD0F4F" w:rsidR="00CF72FE" w:rsidRPr="00BD3D80" w:rsidRDefault="00C26CAB" w:rsidP="00354CE4">
            <w:pPr>
              <w:pStyle w:val="ListParagraph"/>
              <w:numPr>
                <w:ilvl w:val="0"/>
                <w:numId w:val="18"/>
              </w:numPr>
              <w:rPr>
                <w:rFonts w:eastAsia="Times New Roman" w:cstheme="majorHAnsi"/>
                <w:sz w:val="20"/>
                <w:szCs w:val="20"/>
                <w:lang w:val="fr-FR"/>
              </w:rPr>
            </w:pPr>
            <w:r>
              <w:rPr>
                <w:rFonts w:eastAsia="Times New Roman" w:cstheme="majorHAnsi"/>
                <w:sz w:val="20"/>
                <w:szCs w:val="20"/>
                <w:lang w:val="fr-FR"/>
              </w:rPr>
              <w:t xml:space="preserve">Pourcentage </w:t>
            </w:r>
            <w:r w:rsidR="00E65E29">
              <w:rPr>
                <w:rFonts w:eastAsia="Times New Roman" w:cstheme="majorHAnsi"/>
                <w:sz w:val="20"/>
                <w:szCs w:val="20"/>
                <w:lang w:val="fr-FR"/>
              </w:rPr>
              <w:t>d</w:t>
            </w:r>
            <w:r w:rsidR="002C54BD">
              <w:rPr>
                <w:rFonts w:eastAsia="Times New Roman" w:cstheme="majorHAnsi"/>
                <w:sz w:val="20"/>
                <w:szCs w:val="20"/>
                <w:lang w:val="fr-FR"/>
              </w:rPr>
              <w:t>’</w:t>
            </w:r>
            <w:r w:rsidR="00E65E29">
              <w:rPr>
                <w:rFonts w:eastAsia="Times New Roman" w:cstheme="majorHAnsi"/>
                <w:sz w:val="20"/>
                <w:szCs w:val="20"/>
                <w:lang w:val="fr-FR"/>
              </w:rPr>
              <w:t>augmentation de la quantité/qualité de l</w:t>
            </w:r>
            <w:r w:rsidR="002C54BD">
              <w:rPr>
                <w:rFonts w:eastAsia="Times New Roman" w:cstheme="majorHAnsi"/>
                <w:sz w:val="20"/>
                <w:szCs w:val="20"/>
                <w:lang w:val="fr-FR"/>
              </w:rPr>
              <w:t>’</w:t>
            </w:r>
            <w:r w:rsidR="00E65E29">
              <w:rPr>
                <w:rFonts w:eastAsia="Times New Roman" w:cstheme="majorHAnsi"/>
                <w:sz w:val="20"/>
                <w:szCs w:val="20"/>
                <w:lang w:val="fr-FR"/>
              </w:rPr>
              <w:t xml:space="preserve">aide apportée aux bénéficiaires grâce au fonctionnement efficace des plateformes </w:t>
            </w:r>
            <w:proofErr w:type="spellStart"/>
            <w:r w:rsidR="00E65E29">
              <w:rPr>
                <w:rFonts w:eastAsia="Times New Roman" w:cstheme="majorHAnsi"/>
                <w:sz w:val="20"/>
                <w:szCs w:val="20"/>
                <w:lang w:val="fr-FR"/>
              </w:rPr>
              <w:t>multiacteurs</w:t>
            </w:r>
            <w:proofErr w:type="spellEnd"/>
            <w:r w:rsidR="00E65E29">
              <w:rPr>
                <w:rFonts w:eastAsia="Times New Roman" w:cstheme="majorHAnsi"/>
                <w:sz w:val="20"/>
                <w:szCs w:val="20"/>
                <w:lang w:val="fr-FR"/>
              </w:rPr>
              <w:t xml:space="preserve"> au niveau national/infranational </w:t>
            </w:r>
            <w:r w:rsidR="00E65E29">
              <w:rPr>
                <w:rFonts w:eastAsia="Times New Roman" w:cstheme="majorHAnsi"/>
                <w:color w:val="70AD47" w:themeColor="accent6"/>
                <w:sz w:val="20"/>
                <w:szCs w:val="20"/>
                <w:lang w:val="fr-FR"/>
              </w:rPr>
              <w:t>(ventilation par sexe)</w:t>
            </w:r>
            <w:r w:rsidR="00E65E29">
              <w:rPr>
                <w:rFonts w:eastAsia="Times New Roman" w:cstheme="majorHAnsi"/>
                <w:sz w:val="20"/>
                <w:szCs w:val="20"/>
                <w:lang w:val="fr-FR"/>
              </w:rPr>
              <w:t xml:space="preserve"> </w:t>
            </w:r>
            <w:r w:rsidR="00E65E29">
              <w:rPr>
                <w:rFonts w:eastAsia="Times New Roman" w:cstheme="majorHAnsi"/>
                <w:i/>
                <w:iCs/>
                <w:sz w:val="20"/>
                <w:szCs w:val="20"/>
                <w:lang w:val="fr-FR"/>
              </w:rPr>
              <w:t>(</w:t>
            </w:r>
            <w:r w:rsidR="003A6AED">
              <w:rPr>
                <w:rFonts w:eastAsia="Times New Roman" w:cstheme="majorHAnsi"/>
                <w:i/>
                <w:iCs/>
                <w:sz w:val="20"/>
                <w:szCs w:val="20"/>
                <w:lang w:val="fr-FR"/>
              </w:rPr>
              <w:t>p</w:t>
            </w:r>
            <w:r w:rsidR="00E65E29">
              <w:rPr>
                <w:rFonts w:eastAsia="Times New Roman" w:cstheme="majorHAnsi"/>
                <w:i/>
                <w:iCs/>
                <w:sz w:val="20"/>
                <w:szCs w:val="20"/>
                <w:lang w:val="fr-FR"/>
              </w:rPr>
              <w:t xml:space="preserve">. ex., augmentation du nombre de </w:t>
            </w:r>
            <w:r w:rsidR="002443C8">
              <w:rPr>
                <w:rFonts w:eastAsia="Times New Roman" w:cstheme="majorHAnsi"/>
                <w:i/>
                <w:iCs/>
                <w:sz w:val="20"/>
                <w:szCs w:val="20"/>
                <w:lang w:val="fr-FR"/>
              </w:rPr>
              <w:t xml:space="preserve">personnes </w:t>
            </w:r>
            <w:r w:rsidR="00E65E29">
              <w:rPr>
                <w:rFonts w:eastAsia="Times New Roman" w:cstheme="majorHAnsi"/>
                <w:i/>
                <w:iCs/>
                <w:sz w:val="20"/>
                <w:szCs w:val="20"/>
                <w:lang w:val="fr-FR"/>
              </w:rPr>
              <w:t xml:space="preserve">qui ont bénéficié du programme WASH grâce à la planification stratégique de plateformes </w:t>
            </w:r>
            <w:proofErr w:type="spellStart"/>
            <w:r w:rsidR="00E65E29">
              <w:rPr>
                <w:rFonts w:eastAsia="Times New Roman" w:cstheme="majorHAnsi"/>
                <w:i/>
                <w:iCs/>
                <w:sz w:val="20"/>
                <w:szCs w:val="20"/>
                <w:lang w:val="fr-FR"/>
              </w:rPr>
              <w:t>multiacteurs</w:t>
            </w:r>
            <w:proofErr w:type="spellEnd"/>
            <w:r w:rsidR="00E65E29">
              <w:rPr>
                <w:rFonts w:eastAsia="Times New Roman" w:cstheme="majorHAnsi"/>
                <w:i/>
                <w:iCs/>
                <w:sz w:val="20"/>
                <w:szCs w:val="20"/>
                <w:lang w:val="fr-FR"/>
              </w:rPr>
              <w:t>)</w:t>
            </w:r>
          </w:p>
          <w:p w14:paraId="7AF67F19" w14:textId="42EDA778" w:rsidR="00CF72FE" w:rsidRPr="00BD3D80" w:rsidRDefault="00B97680" w:rsidP="00354CE4">
            <w:pPr>
              <w:pStyle w:val="ListParagraph"/>
              <w:numPr>
                <w:ilvl w:val="0"/>
                <w:numId w:val="18"/>
              </w:numPr>
              <w:rPr>
                <w:rFonts w:eastAsia="Times New Roman" w:cstheme="majorHAnsi"/>
                <w:sz w:val="20"/>
                <w:szCs w:val="20"/>
                <w:lang w:val="fr-FR"/>
              </w:rPr>
            </w:pPr>
            <w:r>
              <w:rPr>
                <w:rFonts w:eastAsia="Times New Roman" w:cstheme="majorHAnsi"/>
                <w:sz w:val="20"/>
                <w:szCs w:val="20"/>
                <w:lang w:val="fr-FR"/>
              </w:rPr>
              <w:t>Nombre de bénéficiaires tirant profit d</w:t>
            </w:r>
            <w:r w:rsidR="002C54BD">
              <w:rPr>
                <w:rFonts w:eastAsia="Times New Roman" w:cstheme="majorHAnsi"/>
                <w:sz w:val="20"/>
                <w:szCs w:val="20"/>
                <w:lang w:val="fr-FR"/>
              </w:rPr>
              <w:t>’</w:t>
            </w:r>
            <w:r>
              <w:rPr>
                <w:rFonts w:eastAsia="Times New Roman" w:cstheme="majorHAnsi"/>
                <w:sz w:val="20"/>
                <w:szCs w:val="20"/>
                <w:lang w:val="fr-FR"/>
              </w:rPr>
              <w:t>une meilleure coordination et d</w:t>
            </w:r>
            <w:r w:rsidR="002C54BD">
              <w:rPr>
                <w:rFonts w:eastAsia="Times New Roman" w:cstheme="majorHAnsi"/>
                <w:sz w:val="20"/>
                <w:szCs w:val="20"/>
                <w:lang w:val="fr-FR"/>
              </w:rPr>
              <w:t>’</w:t>
            </w:r>
            <w:r>
              <w:rPr>
                <w:rFonts w:eastAsia="Times New Roman" w:cstheme="majorHAnsi"/>
                <w:sz w:val="20"/>
                <w:szCs w:val="20"/>
                <w:lang w:val="fr-FR"/>
              </w:rPr>
              <w:t xml:space="preserve">une meilleure capacité de mise en œuvre des OSC, des organisations communautaires, des organisations confessionnelles, des responsables religieux ou culturels, du secteur privé, des petites et moyennes entreprises, des responsables de la mise en œuvre, etc. au niveau infranational ou national </w:t>
            </w:r>
            <w:r>
              <w:rPr>
                <w:rFonts w:eastAsia="Times New Roman" w:cstheme="majorHAnsi"/>
                <w:color w:val="70AD47" w:themeColor="accent6"/>
                <w:sz w:val="20"/>
                <w:szCs w:val="20"/>
                <w:lang w:val="fr-FR"/>
              </w:rPr>
              <w:t>(ventilation par sexe</w:t>
            </w:r>
            <w:r w:rsidRPr="00304505">
              <w:rPr>
                <w:rFonts w:eastAsia="Times New Roman" w:cstheme="majorHAnsi"/>
                <w:color w:val="70AD47" w:themeColor="accent6"/>
                <w:sz w:val="20"/>
                <w:szCs w:val="20"/>
                <w:lang w:val="fr-FR"/>
              </w:rPr>
              <w:t>)</w:t>
            </w:r>
            <w:r w:rsidRPr="00304505">
              <w:rPr>
                <w:rFonts w:eastAsia="Times New Roman" w:cstheme="majorHAnsi"/>
                <w:sz w:val="20"/>
                <w:szCs w:val="20"/>
                <w:lang w:val="fr-FR"/>
              </w:rPr>
              <w:t>, p. ex., portée accrue</w:t>
            </w:r>
            <w:r w:rsidR="002C54BD">
              <w:rPr>
                <w:rFonts w:eastAsia="Times New Roman" w:cstheme="majorHAnsi"/>
                <w:sz w:val="20"/>
                <w:szCs w:val="20"/>
                <w:lang w:val="fr-FR"/>
              </w:rPr>
              <w:t> </w:t>
            </w:r>
            <w:r w:rsidRPr="00304505">
              <w:rPr>
                <w:rFonts w:eastAsia="Times New Roman" w:cstheme="majorHAnsi"/>
                <w:sz w:val="20"/>
                <w:szCs w:val="20"/>
                <w:lang w:val="fr-FR"/>
              </w:rPr>
              <w:t>; portée multisectorielle</w:t>
            </w:r>
          </w:p>
        </w:tc>
      </w:tr>
      <w:tr w:rsidR="00CF72FE" w:rsidRPr="00880085" w14:paraId="7A4320CA" w14:textId="77777777" w:rsidTr="00DB44FD">
        <w:tc>
          <w:tcPr>
            <w:tcW w:w="3256" w:type="dxa"/>
            <w:vAlign w:val="center"/>
          </w:tcPr>
          <w:p w14:paraId="33330F18" w14:textId="0D067811" w:rsidR="00CF72FE" w:rsidRPr="00BD3D80" w:rsidRDefault="00CF72FE" w:rsidP="00354CE4">
            <w:pPr>
              <w:rPr>
                <w:rFonts w:eastAsia="Times New Roman" w:cstheme="majorHAnsi"/>
                <w:color w:val="000000"/>
                <w:sz w:val="20"/>
                <w:szCs w:val="20"/>
                <w:lang w:val="fr-FR"/>
              </w:rPr>
            </w:pPr>
            <w:r>
              <w:rPr>
                <w:rFonts w:eastAsia="Times New Roman" w:cstheme="majorHAnsi"/>
                <w:color w:val="000000"/>
                <w:sz w:val="20"/>
                <w:szCs w:val="20"/>
                <w:lang w:val="fr-FR"/>
              </w:rPr>
              <w:t>3.4) Le secteur privé est tenu de rendre des comptes et respecte la législation nationale et les pratiques exemplaires</w:t>
            </w:r>
          </w:p>
          <w:p w14:paraId="48D6E2C9" w14:textId="77777777" w:rsidR="00CF72FE" w:rsidRPr="00BD3D80" w:rsidRDefault="00CF72FE" w:rsidP="00354CE4">
            <w:pPr>
              <w:rPr>
                <w:rFonts w:eastAsia="Times New Roman" w:cstheme="majorHAnsi"/>
                <w:color w:val="000000"/>
                <w:sz w:val="20"/>
                <w:szCs w:val="20"/>
                <w:lang w:val="fr-FR"/>
              </w:rPr>
            </w:pPr>
          </w:p>
        </w:tc>
        <w:tc>
          <w:tcPr>
            <w:tcW w:w="6378" w:type="dxa"/>
          </w:tcPr>
          <w:p w14:paraId="76C71567" w14:textId="6C94EC82" w:rsidR="00CF72FE" w:rsidRPr="00BD3D80" w:rsidRDefault="00CF72FE" w:rsidP="00354CE4">
            <w:pPr>
              <w:pStyle w:val="ListParagraph"/>
              <w:numPr>
                <w:ilvl w:val="0"/>
                <w:numId w:val="18"/>
              </w:numPr>
              <w:rPr>
                <w:rFonts w:eastAsia="Times New Roman" w:cstheme="majorHAnsi"/>
                <w:sz w:val="20"/>
                <w:szCs w:val="20"/>
                <w:lang w:val="fr-FR"/>
              </w:rPr>
            </w:pPr>
            <w:r>
              <w:rPr>
                <w:rFonts w:eastAsia="Times New Roman" w:cstheme="majorHAnsi"/>
                <w:sz w:val="20"/>
                <w:szCs w:val="20"/>
                <w:lang w:val="fr-FR"/>
              </w:rPr>
              <w:t>Augmentation du nombre d</w:t>
            </w:r>
            <w:r w:rsidR="002C54BD">
              <w:rPr>
                <w:rFonts w:eastAsia="Times New Roman" w:cstheme="majorHAnsi"/>
                <w:sz w:val="20"/>
                <w:szCs w:val="20"/>
                <w:lang w:val="fr-FR"/>
              </w:rPr>
              <w:t>’</w:t>
            </w:r>
            <w:r>
              <w:rPr>
                <w:rFonts w:eastAsia="Times New Roman" w:cstheme="majorHAnsi"/>
                <w:sz w:val="20"/>
                <w:szCs w:val="20"/>
                <w:lang w:val="fr-FR"/>
              </w:rPr>
              <w:t>organisations du secteur privé (ventilées par catégorie et type</w:t>
            </w:r>
            <w:r w:rsidR="002C54BD">
              <w:rPr>
                <w:rFonts w:eastAsia="Times New Roman" w:cstheme="majorHAnsi"/>
                <w:sz w:val="20"/>
                <w:szCs w:val="20"/>
                <w:lang w:val="fr-FR"/>
              </w:rPr>
              <w:t> </w:t>
            </w:r>
            <w:r>
              <w:rPr>
                <w:rFonts w:eastAsia="Times New Roman" w:cstheme="majorHAnsi"/>
                <w:sz w:val="20"/>
                <w:szCs w:val="20"/>
                <w:lang w:val="fr-FR"/>
              </w:rPr>
              <w:t xml:space="preserve">: </w:t>
            </w:r>
            <w:r w:rsidR="00431119">
              <w:rPr>
                <w:rFonts w:eastAsia="Times New Roman" w:cstheme="majorHAnsi"/>
                <w:sz w:val="20"/>
                <w:szCs w:val="20"/>
                <w:lang w:val="fr-FR"/>
              </w:rPr>
              <w:t>g</w:t>
            </w:r>
            <w:r>
              <w:rPr>
                <w:rFonts w:eastAsia="Times New Roman" w:cstheme="majorHAnsi"/>
                <w:sz w:val="20"/>
                <w:szCs w:val="20"/>
                <w:lang w:val="fr-FR"/>
              </w:rPr>
              <w:t xml:space="preserve">randes, moyennes, petites) </w:t>
            </w:r>
            <w:r w:rsidR="00431119">
              <w:rPr>
                <w:rFonts w:eastAsia="Times New Roman" w:cstheme="majorHAnsi"/>
                <w:sz w:val="20"/>
                <w:szCs w:val="20"/>
                <w:lang w:val="fr-FR"/>
              </w:rPr>
              <w:t xml:space="preserve">qui se </w:t>
            </w:r>
            <w:r>
              <w:rPr>
                <w:rFonts w:eastAsia="Times New Roman" w:cstheme="majorHAnsi"/>
                <w:sz w:val="20"/>
                <w:szCs w:val="20"/>
                <w:lang w:val="fr-FR"/>
              </w:rPr>
              <w:t>conforme</w:t>
            </w:r>
            <w:r w:rsidR="00431119">
              <w:rPr>
                <w:rFonts w:eastAsia="Times New Roman" w:cstheme="majorHAnsi"/>
                <w:sz w:val="20"/>
                <w:szCs w:val="20"/>
                <w:lang w:val="fr-FR"/>
              </w:rPr>
              <w:t>nt</w:t>
            </w:r>
            <w:r>
              <w:rPr>
                <w:rFonts w:eastAsia="Times New Roman" w:cstheme="majorHAnsi"/>
                <w:sz w:val="20"/>
                <w:szCs w:val="20"/>
                <w:lang w:val="fr-FR"/>
              </w:rPr>
              <w:t xml:space="preserve"> aux directives nationales et mondiales (AMS) en matière de nutrition.</w:t>
            </w:r>
          </w:p>
          <w:p w14:paraId="0DBDC929" w14:textId="4C71423B" w:rsidR="00B51FCA" w:rsidRPr="00BD3D80" w:rsidRDefault="00B97680" w:rsidP="00354CE4">
            <w:pPr>
              <w:pStyle w:val="ListParagraph"/>
              <w:numPr>
                <w:ilvl w:val="0"/>
                <w:numId w:val="18"/>
              </w:numPr>
              <w:rPr>
                <w:rFonts w:eastAsia="Times New Roman" w:cstheme="majorHAnsi"/>
                <w:sz w:val="20"/>
                <w:szCs w:val="20"/>
                <w:lang w:val="fr-FR"/>
              </w:rPr>
            </w:pPr>
            <w:r>
              <w:rPr>
                <w:rFonts w:eastAsia="Times New Roman" w:cstheme="majorHAnsi"/>
                <w:sz w:val="20"/>
                <w:szCs w:val="20"/>
                <w:lang w:val="fr-FR"/>
              </w:rPr>
              <w:t>Nombre et type de législation</w:t>
            </w:r>
            <w:r w:rsidR="00F843BE">
              <w:rPr>
                <w:rFonts w:eastAsia="Times New Roman" w:cstheme="majorHAnsi"/>
                <w:sz w:val="20"/>
                <w:szCs w:val="20"/>
                <w:lang w:val="fr-FR"/>
              </w:rPr>
              <w:t>s</w:t>
            </w:r>
            <w:r>
              <w:rPr>
                <w:rFonts w:eastAsia="Times New Roman" w:cstheme="majorHAnsi"/>
                <w:sz w:val="20"/>
                <w:szCs w:val="20"/>
                <w:lang w:val="fr-FR"/>
              </w:rPr>
              <w:t xml:space="preserve"> nouvelle</w:t>
            </w:r>
            <w:r w:rsidR="00F843BE">
              <w:rPr>
                <w:rFonts w:eastAsia="Times New Roman" w:cstheme="majorHAnsi"/>
                <w:sz w:val="20"/>
                <w:szCs w:val="20"/>
                <w:lang w:val="fr-FR"/>
              </w:rPr>
              <w:t>s</w:t>
            </w:r>
            <w:r>
              <w:rPr>
                <w:rFonts w:eastAsia="Times New Roman" w:cstheme="majorHAnsi"/>
                <w:sz w:val="20"/>
                <w:szCs w:val="20"/>
                <w:lang w:val="fr-FR"/>
              </w:rPr>
              <w:t xml:space="preserve"> ou améliorée</w:t>
            </w:r>
            <w:r w:rsidR="00F843BE">
              <w:rPr>
                <w:rFonts w:eastAsia="Times New Roman" w:cstheme="majorHAnsi"/>
                <w:sz w:val="20"/>
                <w:szCs w:val="20"/>
                <w:lang w:val="fr-FR"/>
              </w:rPr>
              <w:t>s</w:t>
            </w:r>
            <w:r>
              <w:rPr>
                <w:rFonts w:eastAsia="Times New Roman" w:cstheme="majorHAnsi"/>
                <w:sz w:val="20"/>
                <w:szCs w:val="20"/>
                <w:lang w:val="fr-FR"/>
              </w:rPr>
              <w:t xml:space="preserve"> sur l</w:t>
            </w:r>
            <w:r w:rsidR="002C54BD">
              <w:rPr>
                <w:rFonts w:eastAsia="Times New Roman" w:cstheme="majorHAnsi"/>
                <w:sz w:val="20"/>
                <w:szCs w:val="20"/>
                <w:lang w:val="fr-FR"/>
              </w:rPr>
              <w:t>’</w:t>
            </w:r>
            <w:r>
              <w:rPr>
                <w:rFonts w:eastAsia="Times New Roman" w:cstheme="majorHAnsi"/>
                <w:sz w:val="20"/>
                <w:szCs w:val="20"/>
                <w:lang w:val="fr-FR"/>
              </w:rPr>
              <w:t>intervention du secteur privé en matière de nutrition, y compris les recommandations des ASC</w:t>
            </w:r>
          </w:p>
          <w:p w14:paraId="148CD7E5" w14:textId="3A979CB3" w:rsidR="00CF72FE" w:rsidRPr="00BD3D80" w:rsidRDefault="00B51FCA" w:rsidP="00354CE4">
            <w:pPr>
              <w:pStyle w:val="ListParagraph"/>
              <w:numPr>
                <w:ilvl w:val="0"/>
                <w:numId w:val="18"/>
              </w:numPr>
              <w:rPr>
                <w:rFonts w:eastAsia="Times New Roman" w:cstheme="majorHAnsi"/>
                <w:sz w:val="20"/>
                <w:szCs w:val="20"/>
                <w:lang w:val="fr-FR"/>
              </w:rPr>
            </w:pPr>
            <w:r>
              <w:rPr>
                <w:rFonts w:eastAsia="Times New Roman" w:cstheme="majorHAnsi"/>
                <w:sz w:val="20"/>
                <w:szCs w:val="20"/>
                <w:lang w:val="fr-FR"/>
              </w:rPr>
              <w:t xml:space="preserve">Type de processus de </w:t>
            </w:r>
            <w:r w:rsidR="00431119">
              <w:rPr>
                <w:rFonts w:eastAsia="Times New Roman" w:cstheme="majorHAnsi"/>
                <w:sz w:val="20"/>
                <w:szCs w:val="20"/>
                <w:lang w:val="fr-FR"/>
              </w:rPr>
              <w:t>respect</w:t>
            </w:r>
            <w:r>
              <w:rPr>
                <w:rFonts w:eastAsia="Times New Roman" w:cstheme="majorHAnsi"/>
                <w:sz w:val="20"/>
                <w:szCs w:val="20"/>
                <w:lang w:val="fr-FR"/>
              </w:rPr>
              <w:t xml:space="preserve"> de la conformité améliorés grâce aux efforts des ASC</w:t>
            </w:r>
          </w:p>
        </w:tc>
      </w:tr>
    </w:tbl>
    <w:p w14:paraId="3AC2BAC9" w14:textId="01E7B066" w:rsidR="00E07158" w:rsidRPr="00BD3D80" w:rsidRDefault="00E07158">
      <w:pPr>
        <w:rPr>
          <w:lang w:val="fr-FR"/>
        </w:rPr>
      </w:pPr>
    </w:p>
    <w:p w14:paraId="0AD71809" w14:textId="4C74FD20" w:rsidR="00B16D51" w:rsidRPr="001A3B0A" w:rsidRDefault="00E07158" w:rsidP="001A3B0A">
      <w:pPr>
        <w:pStyle w:val="Heading2"/>
        <w:rPr>
          <w:rFonts w:eastAsiaTheme="minorHAnsi"/>
          <w:b/>
          <w:color w:val="FFC000" w:themeColor="accent4"/>
          <w:sz w:val="28"/>
          <w:szCs w:val="28"/>
        </w:rPr>
      </w:pPr>
      <w:bookmarkStart w:id="18" w:name="_Toc37072349"/>
      <w:r>
        <w:rPr>
          <w:rFonts w:eastAsiaTheme="minorHAnsi"/>
          <w:b/>
          <w:bCs/>
          <w:color w:val="FFC000" w:themeColor="accent4"/>
          <w:sz w:val="28"/>
          <w:szCs w:val="28"/>
          <w:lang w:val="fr-FR"/>
        </w:rPr>
        <w:t>Produits</w:t>
      </w:r>
      <w:r w:rsidR="002C54BD">
        <w:rPr>
          <w:rFonts w:eastAsiaTheme="minorHAnsi"/>
          <w:b/>
          <w:bCs/>
          <w:color w:val="FFC000" w:themeColor="accent4"/>
          <w:sz w:val="28"/>
          <w:szCs w:val="28"/>
          <w:lang w:val="fr-FR"/>
        </w:rPr>
        <w:t> </w:t>
      </w:r>
      <w:r>
        <w:rPr>
          <w:rFonts w:eastAsiaTheme="minorHAnsi"/>
          <w:b/>
          <w:bCs/>
          <w:color w:val="FFC000" w:themeColor="accent4"/>
          <w:sz w:val="28"/>
          <w:szCs w:val="28"/>
          <w:lang w:val="fr-FR"/>
        </w:rPr>
        <w:t>3</w:t>
      </w:r>
      <w:bookmarkEnd w:id="18"/>
    </w:p>
    <w:p w14:paraId="29E41361" w14:textId="77777777" w:rsidR="00E07158" w:rsidRPr="00E07158" w:rsidRDefault="00E07158" w:rsidP="00E07158"/>
    <w:tbl>
      <w:tblPr>
        <w:tblStyle w:val="TableGrid"/>
        <w:tblW w:w="10199" w:type="dxa"/>
        <w:jc w:val="center"/>
        <w:tblLook w:val="04A0" w:firstRow="1" w:lastRow="0" w:firstColumn="1" w:lastColumn="0" w:noHBand="0" w:noVBand="1"/>
      </w:tblPr>
      <w:tblGrid>
        <w:gridCol w:w="649"/>
        <w:gridCol w:w="4733"/>
        <w:gridCol w:w="4817"/>
      </w:tblGrid>
      <w:tr w:rsidR="00E07158" w:rsidRPr="00880085" w14:paraId="16BAE7C9" w14:textId="77777777" w:rsidTr="005E526B">
        <w:trPr>
          <w:trHeight w:val="285"/>
          <w:jc w:val="center"/>
        </w:trPr>
        <w:tc>
          <w:tcPr>
            <w:tcW w:w="10199" w:type="dxa"/>
            <w:gridSpan w:val="3"/>
          </w:tcPr>
          <w:p w14:paraId="7BBE91E7" w14:textId="3C18D554" w:rsidR="00E07158" w:rsidRPr="00BD3D80" w:rsidRDefault="00E07158" w:rsidP="005E526B">
            <w:pPr>
              <w:rPr>
                <w:lang w:val="fr-FR"/>
              </w:rPr>
            </w:pPr>
            <w:r>
              <w:rPr>
                <w:lang w:val="fr-FR"/>
              </w:rPr>
              <w:t>Produits et indicateurs proposés pour le résultat</w:t>
            </w:r>
            <w:r w:rsidR="002C54BD">
              <w:rPr>
                <w:lang w:val="fr-FR"/>
              </w:rPr>
              <w:t> </w:t>
            </w:r>
            <w:r>
              <w:rPr>
                <w:lang w:val="fr-FR"/>
              </w:rPr>
              <w:t>3</w:t>
            </w:r>
          </w:p>
          <w:p w14:paraId="58F0535C" w14:textId="58425A39" w:rsidR="00E07158" w:rsidRPr="00BD3D80" w:rsidRDefault="00E07158" w:rsidP="005E526B">
            <w:pPr>
              <w:rPr>
                <w:b/>
                <w:i/>
                <w:lang w:val="fr-FR"/>
              </w:rPr>
            </w:pPr>
            <w:r>
              <w:rPr>
                <w:rFonts w:eastAsia="Times New Roman" w:cstheme="majorHAnsi"/>
                <w:b/>
                <w:bCs/>
                <w:i/>
                <w:iCs/>
                <w:color w:val="000000"/>
                <w:sz w:val="20"/>
                <w:szCs w:val="20"/>
                <w:lang w:val="fr-FR"/>
              </w:rPr>
              <w:t xml:space="preserve">Les parties prenantes clés (gouvernements, société civile, Nations Unies, donateurs et secteur privé) sont en bonne voie pour tenir leurs engagements (p. ex., mobiliser les ressources et mettre en œuvre les </w:t>
            </w:r>
            <w:r w:rsidR="0029661A">
              <w:rPr>
                <w:rFonts w:eastAsia="Times New Roman" w:cstheme="majorHAnsi"/>
                <w:b/>
                <w:bCs/>
                <w:i/>
                <w:iCs/>
                <w:color w:val="000000"/>
                <w:sz w:val="20"/>
                <w:szCs w:val="20"/>
                <w:lang w:val="fr-FR"/>
              </w:rPr>
              <w:t>plans de nutrition</w:t>
            </w:r>
            <w:r>
              <w:rPr>
                <w:rFonts w:eastAsia="Times New Roman" w:cstheme="majorHAnsi"/>
                <w:b/>
                <w:bCs/>
                <w:i/>
                <w:iCs/>
                <w:color w:val="000000"/>
                <w:sz w:val="20"/>
                <w:szCs w:val="20"/>
                <w:lang w:val="fr-FR"/>
              </w:rPr>
              <w:t>) et apportent une contribution tangible à la réduction de la malnutrition</w:t>
            </w:r>
          </w:p>
        </w:tc>
      </w:tr>
      <w:tr w:rsidR="00E07158" w:rsidRPr="00880085" w14:paraId="3B9FDBC8" w14:textId="77777777" w:rsidTr="005E526B">
        <w:trPr>
          <w:trHeight w:val="270"/>
          <w:jc w:val="center"/>
        </w:trPr>
        <w:tc>
          <w:tcPr>
            <w:tcW w:w="649" w:type="dxa"/>
          </w:tcPr>
          <w:p w14:paraId="1B5ACB0F" w14:textId="77777777" w:rsidR="00E07158" w:rsidRPr="00BD3D80" w:rsidRDefault="00E07158" w:rsidP="005E526B">
            <w:pPr>
              <w:rPr>
                <w:lang w:val="fr-FR"/>
              </w:rPr>
            </w:pPr>
          </w:p>
        </w:tc>
        <w:tc>
          <w:tcPr>
            <w:tcW w:w="4733" w:type="dxa"/>
          </w:tcPr>
          <w:p w14:paraId="052CCB68" w14:textId="77777777" w:rsidR="00E07158" w:rsidRDefault="00E07158" w:rsidP="005E526B">
            <w:r>
              <w:rPr>
                <w:b/>
                <w:bCs/>
                <w:lang w:val="fr-FR"/>
              </w:rPr>
              <w:t>Produits</w:t>
            </w:r>
          </w:p>
        </w:tc>
        <w:tc>
          <w:tcPr>
            <w:tcW w:w="4817" w:type="dxa"/>
          </w:tcPr>
          <w:p w14:paraId="2283F6CD" w14:textId="07511DDF" w:rsidR="00E07158" w:rsidRPr="00BD3D80" w:rsidRDefault="00E07158" w:rsidP="005E526B">
            <w:pPr>
              <w:rPr>
                <w:lang w:val="fr-FR"/>
              </w:rPr>
            </w:pPr>
            <w:r>
              <w:rPr>
                <w:b/>
                <w:bCs/>
                <w:lang w:val="fr-FR"/>
              </w:rPr>
              <w:t>Indicateurs suggérés (lorsque plusieurs choix sont possibles, veuillez n</w:t>
            </w:r>
            <w:r w:rsidR="002C54BD">
              <w:rPr>
                <w:b/>
                <w:bCs/>
                <w:lang w:val="fr-FR"/>
              </w:rPr>
              <w:t>’</w:t>
            </w:r>
            <w:r>
              <w:rPr>
                <w:b/>
                <w:bCs/>
                <w:lang w:val="fr-FR"/>
              </w:rPr>
              <w:t>en sélectionner qu</w:t>
            </w:r>
            <w:r w:rsidR="002C54BD">
              <w:rPr>
                <w:b/>
                <w:bCs/>
                <w:lang w:val="fr-FR"/>
              </w:rPr>
              <w:t>’</w:t>
            </w:r>
            <w:r>
              <w:rPr>
                <w:b/>
                <w:bCs/>
                <w:lang w:val="fr-FR"/>
              </w:rPr>
              <w:t>un seul)</w:t>
            </w:r>
          </w:p>
        </w:tc>
      </w:tr>
      <w:tr w:rsidR="00E07158" w14:paraId="41740CC7" w14:textId="77777777" w:rsidTr="005E526B">
        <w:trPr>
          <w:trHeight w:val="285"/>
          <w:jc w:val="center"/>
        </w:trPr>
        <w:tc>
          <w:tcPr>
            <w:tcW w:w="649" w:type="dxa"/>
            <w:vMerge w:val="restart"/>
            <w:textDirection w:val="btLr"/>
          </w:tcPr>
          <w:p w14:paraId="7EBF622B" w14:textId="2A64D9F9" w:rsidR="00E07158" w:rsidRDefault="00E07158" w:rsidP="005E526B">
            <w:pPr>
              <w:ind w:left="113" w:right="113"/>
              <w:jc w:val="center"/>
            </w:pPr>
            <w:r>
              <w:rPr>
                <w:lang w:val="fr-FR"/>
              </w:rPr>
              <w:t>Résultat intermédiaire</w:t>
            </w:r>
            <w:r w:rsidR="002C54BD">
              <w:rPr>
                <w:lang w:val="fr-FR"/>
              </w:rPr>
              <w:t> </w:t>
            </w:r>
            <w:r>
              <w:rPr>
                <w:lang w:val="fr-FR"/>
              </w:rPr>
              <w:t>3.1</w:t>
            </w:r>
          </w:p>
        </w:tc>
        <w:tc>
          <w:tcPr>
            <w:tcW w:w="4733" w:type="dxa"/>
          </w:tcPr>
          <w:p w14:paraId="0F25F5A6" w14:textId="3CAA3388" w:rsidR="00E07158" w:rsidRPr="00BD3D80" w:rsidRDefault="00317BFC" w:rsidP="005E526B">
            <w:pPr>
              <w:rPr>
                <w:lang w:val="fr-FR"/>
              </w:rPr>
            </w:pPr>
            <w:r>
              <w:rPr>
                <w:rFonts w:eastAsia="Times New Roman" w:cstheme="majorHAnsi"/>
                <w:sz w:val="20"/>
                <w:szCs w:val="20"/>
                <w:lang w:val="fr-FR"/>
              </w:rPr>
              <w:t>3.1.1 Établissement de rapports tirés des fiches d</w:t>
            </w:r>
            <w:r w:rsidR="002C54BD">
              <w:rPr>
                <w:rFonts w:eastAsia="Times New Roman" w:cstheme="majorHAnsi"/>
                <w:sz w:val="20"/>
                <w:szCs w:val="20"/>
                <w:lang w:val="fr-FR"/>
              </w:rPr>
              <w:t>’</w:t>
            </w:r>
            <w:r>
              <w:rPr>
                <w:rFonts w:eastAsia="Times New Roman" w:cstheme="majorHAnsi"/>
                <w:sz w:val="20"/>
                <w:szCs w:val="20"/>
                <w:lang w:val="fr-FR"/>
              </w:rPr>
              <w:t>évaluation et d</w:t>
            </w:r>
            <w:r w:rsidR="002C54BD">
              <w:rPr>
                <w:rFonts w:eastAsia="Times New Roman" w:cstheme="majorHAnsi"/>
                <w:sz w:val="20"/>
                <w:szCs w:val="20"/>
                <w:lang w:val="fr-FR"/>
              </w:rPr>
              <w:t>’</w:t>
            </w:r>
            <w:r>
              <w:rPr>
                <w:rFonts w:eastAsia="Times New Roman" w:cstheme="majorHAnsi"/>
                <w:sz w:val="20"/>
                <w:szCs w:val="20"/>
                <w:lang w:val="fr-FR"/>
              </w:rPr>
              <w:t>autres mécanismes de redevabilité</w:t>
            </w:r>
          </w:p>
        </w:tc>
        <w:tc>
          <w:tcPr>
            <w:tcW w:w="4817" w:type="dxa"/>
          </w:tcPr>
          <w:p w14:paraId="3E4D95AE" w14:textId="77777777" w:rsidR="00E07158" w:rsidRDefault="00E07158" w:rsidP="00997566">
            <w:pPr>
              <w:pStyle w:val="ListParagraph"/>
              <w:numPr>
                <w:ilvl w:val="0"/>
                <w:numId w:val="13"/>
              </w:numPr>
              <w:ind w:left="465" w:hanging="425"/>
            </w:pPr>
            <w:r>
              <w:rPr>
                <w:rFonts w:eastAsia="Times New Roman" w:cstheme="majorHAnsi"/>
                <w:sz w:val="20"/>
                <w:szCs w:val="20"/>
                <w:lang w:val="fr-FR"/>
              </w:rPr>
              <w:t>Nombre de rapports établis</w:t>
            </w:r>
          </w:p>
        </w:tc>
      </w:tr>
      <w:tr w:rsidR="00E07158" w:rsidRPr="00880085" w14:paraId="512CB50A" w14:textId="77777777" w:rsidTr="005E526B">
        <w:trPr>
          <w:trHeight w:val="270"/>
          <w:jc w:val="center"/>
        </w:trPr>
        <w:tc>
          <w:tcPr>
            <w:tcW w:w="649" w:type="dxa"/>
            <w:vMerge/>
          </w:tcPr>
          <w:p w14:paraId="1C1AFC98" w14:textId="77777777" w:rsidR="00E07158" w:rsidRDefault="00E07158" w:rsidP="005E526B"/>
        </w:tc>
        <w:tc>
          <w:tcPr>
            <w:tcW w:w="4733" w:type="dxa"/>
          </w:tcPr>
          <w:p w14:paraId="525925F0" w14:textId="6A1AEDFF" w:rsidR="00E07158" w:rsidRPr="00BD3D80" w:rsidRDefault="00317BFC" w:rsidP="005E526B">
            <w:pPr>
              <w:rPr>
                <w:lang w:val="fr-FR"/>
              </w:rPr>
            </w:pPr>
            <w:r>
              <w:rPr>
                <w:rFonts w:eastAsia="Times New Roman" w:cstheme="majorHAnsi"/>
                <w:sz w:val="20"/>
                <w:szCs w:val="20"/>
                <w:lang w:val="fr-FR"/>
              </w:rPr>
              <w:t xml:space="preserve">3.1.2 Les </w:t>
            </w:r>
            <w:r w:rsidR="00DB062F">
              <w:rPr>
                <w:rFonts w:eastAsia="Times New Roman" w:cstheme="majorHAnsi"/>
                <w:sz w:val="20"/>
                <w:szCs w:val="20"/>
                <w:lang w:val="fr-FR"/>
              </w:rPr>
              <w:t>ASC</w:t>
            </w:r>
            <w:r>
              <w:rPr>
                <w:rFonts w:eastAsia="Times New Roman" w:cstheme="majorHAnsi"/>
                <w:sz w:val="20"/>
                <w:szCs w:val="20"/>
                <w:lang w:val="fr-FR"/>
              </w:rPr>
              <w:t xml:space="preserve"> </w:t>
            </w:r>
            <w:r w:rsidR="00DB062F">
              <w:rPr>
                <w:rFonts w:eastAsia="Times New Roman" w:cstheme="majorHAnsi"/>
                <w:sz w:val="20"/>
                <w:szCs w:val="20"/>
                <w:lang w:val="fr-FR"/>
              </w:rPr>
              <w:t>participent</w:t>
            </w:r>
            <w:r>
              <w:rPr>
                <w:rFonts w:eastAsia="Times New Roman" w:cstheme="majorHAnsi"/>
                <w:sz w:val="20"/>
                <w:szCs w:val="20"/>
                <w:lang w:val="fr-FR"/>
              </w:rPr>
              <w:t xml:space="preserve"> aux mécanismes de redevabilité mondiaux tels que les rapports, la base de données des engagements, les événements publics.</w:t>
            </w:r>
          </w:p>
        </w:tc>
        <w:tc>
          <w:tcPr>
            <w:tcW w:w="4817" w:type="dxa"/>
          </w:tcPr>
          <w:p w14:paraId="41115668" w14:textId="03D0F245" w:rsidR="00E07158" w:rsidRPr="00BD3D80" w:rsidRDefault="00E07158" w:rsidP="00997566">
            <w:pPr>
              <w:pStyle w:val="ListParagraph"/>
              <w:numPr>
                <w:ilvl w:val="0"/>
                <w:numId w:val="13"/>
              </w:numPr>
              <w:ind w:left="465" w:hanging="425"/>
              <w:rPr>
                <w:lang w:val="fr-FR"/>
              </w:rPr>
            </w:pPr>
            <w:r>
              <w:rPr>
                <w:rFonts w:eastAsia="Times New Roman" w:cstheme="majorHAnsi"/>
                <w:sz w:val="20"/>
                <w:szCs w:val="20"/>
                <w:lang w:val="fr-FR"/>
              </w:rPr>
              <w:t xml:space="preserve">Nombre de mécanismes de redevabilité </w:t>
            </w:r>
            <w:r w:rsidR="00DB062F">
              <w:rPr>
                <w:rFonts w:eastAsia="Times New Roman" w:cstheme="majorHAnsi"/>
                <w:sz w:val="20"/>
                <w:szCs w:val="20"/>
                <w:lang w:val="fr-FR"/>
              </w:rPr>
              <w:t>mondiale</w:t>
            </w:r>
            <w:r>
              <w:rPr>
                <w:rFonts w:eastAsia="Times New Roman" w:cstheme="majorHAnsi"/>
                <w:sz w:val="20"/>
                <w:szCs w:val="20"/>
                <w:lang w:val="fr-FR"/>
              </w:rPr>
              <w:t xml:space="preserve"> utilisés par les ASC </w:t>
            </w:r>
          </w:p>
        </w:tc>
      </w:tr>
      <w:tr w:rsidR="00E07158" w:rsidRPr="00880085" w14:paraId="36D5FB68" w14:textId="77777777" w:rsidTr="005E526B">
        <w:trPr>
          <w:trHeight w:val="285"/>
          <w:jc w:val="center"/>
        </w:trPr>
        <w:tc>
          <w:tcPr>
            <w:tcW w:w="649" w:type="dxa"/>
            <w:vMerge/>
          </w:tcPr>
          <w:p w14:paraId="3B2A11A2" w14:textId="77777777" w:rsidR="00E07158" w:rsidRPr="00BD3D80" w:rsidRDefault="00E07158" w:rsidP="005E526B">
            <w:pPr>
              <w:rPr>
                <w:lang w:val="fr-FR"/>
              </w:rPr>
            </w:pPr>
          </w:p>
        </w:tc>
        <w:tc>
          <w:tcPr>
            <w:tcW w:w="4733" w:type="dxa"/>
          </w:tcPr>
          <w:p w14:paraId="57F334E3" w14:textId="6786D6F2" w:rsidR="00E07158" w:rsidRPr="00BD3D80" w:rsidRDefault="00317BFC" w:rsidP="005E526B">
            <w:pPr>
              <w:rPr>
                <w:lang w:val="fr-FR"/>
              </w:rPr>
            </w:pPr>
            <w:r>
              <w:rPr>
                <w:rFonts w:eastAsia="Times New Roman" w:cstheme="majorHAnsi"/>
                <w:sz w:val="20"/>
                <w:szCs w:val="20"/>
                <w:lang w:val="fr-FR"/>
              </w:rPr>
              <w:t>3.1.3 Analyse budgétaire et plaidoyer entrepris par l</w:t>
            </w:r>
            <w:r w:rsidR="00DB062F">
              <w:rPr>
                <w:rFonts w:eastAsia="Times New Roman" w:cstheme="majorHAnsi"/>
                <w:sz w:val="20"/>
                <w:szCs w:val="20"/>
                <w:lang w:val="fr-FR"/>
              </w:rPr>
              <w:t xml:space="preserve">es </w:t>
            </w:r>
            <w:r>
              <w:rPr>
                <w:rFonts w:eastAsia="Times New Roman" w:cstheme="majorHAnsi"/>
                <w:sz w:val="20"/>
                <w:szCs w:val="20"/>
                <w:lang w:val="fr-FR"/>
              </w:rPr>
              <w:t>ASC au niveau national ou infranational</w:t>
            </w:r>
          </w:p>
        </w:tc>
        <w:tc>
          <w:tcPr>
            <w:tcW w:w="4817" w:type="dxa"/>
          </w:tcPr>
          <w:p w14:paraId="2840DBC8" w14:textId="38FD7609" w:rsidR="00E07158" w:rsidRPr="00BD3D80" w:rsidRDefault="00E07158" w:rsidP="00997566">
            <w:pPr>
              <w:pStyle w:val="ListParagraph"/>
              <w:numPr>
                <w:ilvl w:val="0"/>
                <w:numId w:val="13"/>
              </w:numPr>
              <w:ind w:left="465" w:hanging="425"/>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analyse</w:t>
            </w:r>
            <w:r w:rsidR="008F2AF4">
              <w:rPr>
                <w:rFonts w:eastAsia="Times New Roman" w:cstheme="majorHAnsi"/>
                <w:sz w:val="20"/>
                <w:szCs w:val="20"/>
                <w:lang w:val="fr-FR"/>
              </w:rPr>
              <w:t>s</w:t>
            </w:r>
            <w:r>
              <w:rPr>
                <w:rFonts w:eastAsia="Times New Roman" w:cstheme="majorHAnsi"/>
                <w:sz w:val="20"/>
                <w:szCs w:val="20"/>
                <w:lang w:val="fr-FR"/>
              </w:rPr>
              <w:t xml:space="preserve"> budgétaire</w:t>
            </w:r>
            <w:r w:rsidR="008F2AF4">
              <w:rPr>
                <w:rFonts w:eastAsia="Times New Roman" w:cstheme="majorHAnsi"/>
                <w:sz w:val="20"/>
                <w:szCs w:val="20"/>
                <w:lang w:val="fr-FR"/>
              </w:rPr>
              <w:t>s</w:t>
            </w:r>
            <w:r>
              <w:rPr>
                <w:rFonts w:eastAsia="Times New Roman" w:cstheme="majorHAnsi"/>
                <w:sz w:val="20"/>
                <w:szCs w:val="20"/>
                <w:lang w:val="fr-FR"/>
              </w:rPr>
              <w:t xml:space="preserve"> entreprise</w:t>
            </w:r>
            <w:r w:rsidR="008F2AF4">
              <w:rPr>
                <w:rFonts w:eastAsia="Times New Roman" w:cstheme="majorHAnsi"/>
                <w:sz w:val="20"/>
                <w:szCs w:val="20"/>
                <w:lang w:val="fr-FR"/>
              </w:rPr>
              <w:t>s</w:t>
            </w:r>
            <w:r>
              <w:rPr>
                <w:rFonts w:eastAsia="Times New Roman" w:cstheme="majorHAnsi"/>
                <w:sz w:val="20"/>
                <w:szCs w:val="20"/>
                <w:lang w:val="fr-FR"/>
              </w:rPr>
              <w:t xml:space="preserve"> par l</w:t>
            </w:r>
            <w:r w:rsidR="00DB062F">
              <w:rPr>
                <w:rFonts w:eastAsia="Times New Roman" w:cstheme="majorHAnsi"/>
                <w:sz w:val="20"/>
                <w:szCs w:val="20"/>
                <w:lang w:val="fr-FR"/>
              </w:rPr>
              <w:t xml:space="preserve">es </w:t>
            </w:r>
            <w:r>
              <w:rPr>
                <w:rFonts w:eastAsia="Times New Roman" w:cstheme="majorHAnsi"/>
                <w:sz w:val="20"/>
                <w:szCs w:val="20"/>
                <w:lang w:val="fr-FR"/>
              </w:rPr>
              <w:t>ASC au niveau national et infranational</w:t>
            </w:r>
          </w:p>
          <w:p w14:paraId="33D754F1" w14:textId="77777777" w:rsidR="00E07158" w:rsidRPr="00BD3D80" w:rsidRDefault="00E07158" w:rsidP="00997566">
            <w:pPr>
              <w:pStyle w:val="ListParagraph"/>
              <w:numPr>
                <w:ilvl w:val="0"/>
                <w:numId w:val="13"/>
              </w:numPr>
              <w:ind w:left="465" w:hanging="425"/>
              <w:rPr>
                <w:rFonts w:eastAsia="Times New Roman" w:cstheme="majorHAnsi"/>
                <w:sz w:val="20"/>
                <w:szCs w:val="20"/>
                <w:lang w:val="fr-FR"/>
              </w:rPr>
            </w:pPr>
            <w:r>
              <w:rPr>
                <w:rFonts w:eastAsia="Times New Roman" w:cstheme="majorHAnsi"/>
                <w:sz w:val="20"/>
                <w:szCs w:val="20"/>
                <w:lang w:val="fr-FR"/>
              </w:rPr>
              <w:t>Nombre de diffusions publiques des résultats à des fins de sensibilisation</w:t>
            </w:r>
          </w:p>
          <w:p w14:paraId="19BE5BD7" w14:textId="74C886E2" w:rsidR="00E07158" w:rsidRPr="00BD3D80" w:rsidRDefault="00E07158" w:rsidP="00997566">
            <w:pPr>
              <w:pStyle w:val="ListParagraph"/>
              <w:numPr>
                <w:ilvl w:val="0"/>
                <w:numId w:val="13"/>
              </w:numPr>
              <w:ind w:left="465" w:hanging="425"/>
              <w:rPr>
                <w:lang w:val="fr-FR"/>
              </w:rPr>
            </w:pPr>
            <w:r>
              <w:rPr>
                <w:rFonts w:eastAsia="Times New Roman" w:cstheme="majorHAnsi"/>
                <w:sz w:val="20"/>
                <w:szCs w:val="20"/>
                <w:lang w:val="fr-FR"/>
              </w:rPr>
              <w:t>Nombre de parties prenantes mises au courant des résultats de l</w:t>
            </w:r>
            <w:r w:rsidR="002C54BD">
              <w:rPr>
                <w:rFonts w:eastAsia="Times New Roman" w:cstheme="majorHAnsi"/>
                <w:sz w:val="20"/>
                <w:szCs w:val="20"/>
                <w:lang w:val="fr-FR"/>
              </w:rPr>
              <w:t>’</w:t>
            </w:r>
            <w:r>
              <w:rPr>
                <w:rFonts w:eastAsia="Times New Roman" w:cstheme="majorHAnsi"/>
                <w:sz w:val="20"/>
                <w:szCs w:val="20"/>
                <w:lang w:val="fr-FR"/>
              </w:rPr>
              <w:t xml:space="preserve">analyse budgétaire et </w:t>
            </w:r>
            <w:r w:rsidR="00DB062F">
              <w:rPr>
                <w:rFonts w:eastAsia="Times New Roman" w:cstheme="majorHAnsi"/>
                <w:sz w:val="20"/>
                <w:szCs w:val="20"/>
                <w:lang w:val="fr-FR"/>
              </w:rPr>
              <w:t>d</w:t>
            </w:r>
            <w:r>
              <w:rPr>
                <w:rFonts w:eastAsia="Times New Roman" w:cstheme="majorHAnsi"/>
                <w:sz w:val="20"/>
                <w:szCs w:val="20"/>
                <w:lang w:val="fr-FR"/>
              </w:rPr>
              <w:t>es recommandations (ventilation par sexe, type de partie prenante et niveau national/infranational)</w:t>
            </w:r>
          </w:p>
        </w:tc>
      </w:tr>
      <w:tr w:rsidR="00E07158" w:rsidRPr="00880085" w14:paraId="5AE1167A" w14:textId="77777777" w:rsidTr="005E526B">
        <w:trPr>
          <w:trHeight w:val="270"/>
          <w:jc w:val="center"/>
        </w:trPr>
        <w:tc>
          <w:tcPr>
            <w:tcW w:w="649" w:type="dxa"/>
            <w:vMerge/>
          </w:tcPr>
          <w:p w14:paraId="4A1A9661" w14:textId="77777777" w:rsidR="00E07158" w:rsidRPr="00BD3D80" w:rsidRDefault="00E07158" w:rsidP="005E526B">
            <w:pPr>
              <w:rPr>
                <w:lang w:val="fr-FR"/>
              </w:rPr>
            </w:pPr>
          </w:p>
        </w:tc>
        <w:tc>
          <w:tcPr>
            <w:tcW w:w="4733" w:type="dxa"/>
          </w:tcPr>
          <w:p w14:paraId="7907D9A8" w14:textId="719F3F7F" w:rsidR="00E07158" w:rsidRPr="00BD3D80" w:rsidRDefault="00317BFC" w:rsidP="005E526B">
            <w:pPr>
              <w:rPr>
                <w:lang w:val="fr-FR"/>
              </w:rPr>
            </w:pPr>
            <w:r>
              <w:rPr>
                <w:rFonts w:eastAsia="Times New Roman" w:cstheme="majorHAnsi"/>
                <w:sz w:val="20"/>
                <w:szCs w:val="20"/>
                <w:lang w:val="fr-FR"/>
              </w:rPr>
              <w:t>3.1.4 Les ambassadeurs gouvernementaux de la nutrition sont célébrés et récompensés</w:t>
            </w:r>
          </w:p>
        </w:tc>
        <w:tc>
          <w:tcPr>
            <w:tcW w:w="4817" w:type="dxa"/>
          </w:tcPr>
          <w:p w14:paraId="3D35FABE" w14:textId="24D470B5" w:rsidR="00E07158" w:rsidRPr="00BD3D80" w:rsidRDefault="00E07158" w:rsidP="00997566">
            <w:pPr>
              <w:pStyle w:val="ListParagraph"/>
              <w:numPr>
                <w:ilvl w:val="0"/>
                <w:numId w:val="13"/>
              </w:numPr>
              <w:ind w:left="465" w:hanging="425"/>
              <w:rPr>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 xml:space="preserve">ambassadeurs récompensés (ventilation par sexe, type de parties prenantes </w:t>
            </w:r>
            <w:r w:rsidR="008F2AF4">
              <w:rPr>
                <w:rFonts w:eastAsia="Times New Roman" w:cstheme="majorHAnsi"/>
                <w:sz w:val="20"/>
                <w:szCs w:val="20"/>
                <w:lang w:val="fr-FR"/>
              </w:rPr>
              <w:t xml:space="preserve">et </w:t>
            </w:r>
            <w:r>
              <w:rPr>
                <w:rFonts w:eastAsia="Times New Roman" w:cstheme="majorHAnsi"/>
                <w:sz w:val="20"/>
                <w:szCs w:val="20"/>
                <w:lang w:val="fr-FR"/>
              </w:rPr>
              <w:t>niveau national ou infranational)</w:t>
            </w:r>
          </w:p>
        </w:tc>
      </w:tr>
      <w:tr w:rsidR="00E07158" w:rsidRPr="00880085" w14:paraId="35613391" w14:textId="77777777" w:rsidTr="005E526B">
        <w:trPr>
          <w:trHeight w:val="285"/>
          <w:jc w:val="center"/>
        </w:trPr>
        <w:tc>
          <w:tcPr>
            <w:tcW w:w="649" w:type="dxa"/>
            <w:vMerge/>
          </w:tcPr>
          <w:p w14:paraId="08281CCB" w14:textId="77777777" w:rsidR="00E07158" w:rsidRPr="00BD3D80" w:rsidRDefault="00E07158" w:rsidP="005E526B">
            <w:pPr>
              <w:rPr>
                <w:lang w:val="fr-FR"/>
              </w:rPr>
            </w:pPr>
          </w:p>
        </w:tc>
        <w:tc>
          <w:tcPr>
            <w:tcW w:w="4733" w:type="dxa"/>
          </w:tcPr>
          <w:p w14:paraId="05E53C64" w14:textId="1995560F" w:rsidR="00E07158" w:rsidRPr="00BD3D80" w:rsidRDefault="00317BFC" w:rsidP="005E526B">
            <w:pPr>
              <w:rPr>
                <w:lang w:val="fr-FR"/>
              </w:rPr>
            </w:pPr>
            <w:r>
              <w:rPr>
                <w:rFonts w:eastAsia="Times New Roman" w:cstheme="majorHAnsi"/>
                <w:sz w:val="20"/>
                <w:szCs w:val="20"/>
                <w:lang w:val="fr-FR"/>
              </w:rPr>
              <w:t>3.1.5 Représentants des ASC s</w:t>
            </w:r>
            <w:r w:rsidR="002C54BD">
              <w:rPr>
                <w:rFonts w:eastAsia="Times New Roman" w:cstheme="majorHAnsi"/>
                <w:sz w:val="20"/>
                <w:szCs w:val="20"/>
                <w:lang w:val="fr-FR"/>
              </w:rPr>
              <w:t>’</w:t>
            </w:r>
            <w:r>
              <w:rPr>
                <w:rFonts w:eastAsia="Times New Roman" w:cstheme="majorHAnsi"/>
                <w:sz w:val="20"/>
                <w:szCs w:val="20"/>
                <w:lang w:val="fr-FR"/>
              </w:rPr>
              <w:t>exprimant lors d</w:t>
            </w:r>
            <w:r w:rsidR="002C54BD">
              <w:rPr>
                <w:rFonts w:eastAsia="Times New Roman" w:cstheme="majorHAnsi"/>
                <w:sz w:val="20"/>
                <w:szCs w:val="20"/>
                <w:lang w:val="fr-FR"/>
              </w:rPr>
              <w:t>’</w:t>
            </w:r>
            <w:r>
              <w:rPr>
                <w:rFonts w:eastAsia="Times New Roman" w:cstheme="majorHAnsi"/>
                <w:sz w:val="20"/>
                <w:szCs w:val="20"/>
                <w:lang w:val="fr-FR"/>
              </w:rPr>
              <w:t>événements régionaux et mondiaux pour assurer le suivi des engagements gouvernementaux</w:t>
            </w:r>
          </w:p>
        </w:tc>
        <w:tc>
          <w:tcPr>
            <w:tcW w:w="4817" w:type="dxa"/>
          </w:tcPr>
          <w:p w14:paraId="464A74FC" w14:textId="77777777" w:rsidR="00E07158" w:rsidRPr="00BD3D80" w:rsidRDefault="00E07158" w:rsidP="00997566">
            <w:pPr>
              <w:pStyle w:val="ListParagraph"/>
              <w:numPr>
                <w:ilvl w:val="0"/>
                <w:numId w:val="13"/>
              </w:numPr>
              <w:ind w:left="465" w:hanging="425"/>
              <w:rPr>
                <w:rFonts w:eastAsia="Times New Roman" w:cstheme="majorHAnsi"/>
                <w:sz w:val="20"/>
                <w:szCs w:val="20"/>
                <w:lang w:val="fr-FR"/>
              </w:rPr>
            </w:pPr>
            <w:r>
              <w:rPr>
                <w:rFonts w:eastAsia="Times New Roman" w:cstheme="majorHAnsi"/>
                <w:sz w:val="20"/>
                <w:szCs w:val="20"/>
                <w:lang w:val="fr-FR"/>
              </w:rPr>
              <w:t>Nombre de représentants des ASC impliqués (ventilation par sexe)</w:t>
            </w:r>
          </w:p>
          <w:p w14:paraId="3176CB47" w14:textId="2BD23D09" w:rsidR="00E07158" w:rsidRPr="00BD3D80" w:rsidRDefault="00E07158" w:rsidP="00997566">
            <w:pPr>
              <w:pStyle w:val="ListParagraph"/>
              <w:numPr>
                <w:ilvl w:val="0"/>
                <w:numId w:val="13"/>
              </w:numPr>
              <w:ind w:left="465" w:hanging="425"/>
              <w:rPr>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événements (en face à face ou virtuels) avec représentation des ASC</w:t>
            </w:r>
          </w:p>
        </w:tc>
      </w:tr>
      <w:tr w:rsidR="00E07158" w:rsidRPr="00880085" w14:paraId="4756314F" w14:textId="77777777" w:rsidTr="005E526B">
        <w:trPr>
          <w:trHeight w:val="270"/>
          <w:jc w:val="center"/>
        </w:trPr>
        <w:tc>
          <w:tcPr>
            <w:tcW w:w="649" w:type="dxa"/>
            <w:vMerge/>
          </w:tcPr>
          <w:p w14:paraId="6D04142B" w14:textId="77777777" w:rsidR="00E07158" w:rsidRPr="00BD3D80" w:rsidRDefault="00E07158" w:rsidP="005E526B">
            <w:pPr>
              <w:rPr>
                <w:lang w:val="fr-FR"/>
              </w:rPr>
            </w:pPr>
          </w:p>
        </w:tc>
        <w:tc>
          <w:tcPr>
            <w:tcW w:w="4733" w:type="dxa"/>
          </w:tcPr>
          <w:p w14:paraId="5086B54C" w14:textId="0AC943E1" w:rsidR="00E07158" w:rsidRPr="00BD3D80" w:rsidRDefault="00317BFC" w:rsidP="005E526B">
            <w:pPr>
              <w:rPr>
                <w:lang w:val="fr-FR"/>
              </w:rPr>
            </w:pPr>
            <w:r>
              <w:rPr>
                <w:rFonts w:eastAsia="Times New Roman" w:cstheme="majorHAnsi"/>
                <w:sz w:val="20"/>
                <w:szCs w:val="20"/>
                <w:lang w:val="fr-FR"/>
              </w:rPr>
              <w:t>3.1.6 Couverture médiatique générée par les médias publics pour demander des comptes au gouvernement</w:t>
            </w:r>
          </w:p>
        </w:tc>
        <w:tc>
          <w:tcPr>
            <w:tcW w:w="4817" w:type="dxa"/>
          </w:tcPr>
          <w:p w14:paraId="5AE6123A" w14:textId="47F89FF2" w:rsidR="00E07158" w:rsidRPr="00BD3D80" w:rsidRDefault="00E07158" w:rsidP="00997566">
            <w:pPr>
              <w:pStyle w:val="ListParagraph"/>
              <w:numPr>
                <w:ilvl w:val="0"/>
                <w:numId w:val="13"/>
              </w:numPr>
              <w:ind w:left="465" w:hanging="425"/>
              <w:rPr>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articles, de spots radio ou télévisés, d</w:t>
            </w:r>
            <w:r w:rsidR="002C54BD">
              <w:rPr>
                <w:rFonts w:eastAsia="Times New Roman" w:cstheme="majorHAnsi"/>
                <w:sz w:val="20"/>
                <w:szCs w:val="20"/>
                <w:lang w:val="fr-FR"/>
              </w:rPr>
              <w:t>’</w:t>
            </w:r>
            <w:r>
              <w:rPr>
                <w:rFonts w:eastAsia="Times New Roman" w:cstheme="majorHAnsi"/>
                <w:sz w:val="20"/>
                <w:szCs w:val="20"/>
                <w:lang w:val="fr-FR"/>
              </w:rPr>
              <w:t>interviews et de messages sur les réseaux sociaux générés au niveau infranational, national, régional et mondial</w:t>
            </w:r>
          </w:p>
        </w:tc>
      </w:tr>
      <w:tr w:rsidR="00E07158" w:rsidRPr="00880085" w14:paraId="54FDDD8A" w14:textId="77777777" w:rsidTr="005E526B">
        <w:trPr>
          <w:trHeight w:val="270"/>
          <w:jc w:val="center"/>
        </w:trPr>
        <w:tc>
          <w:tcPr>
            <w:tcW w:w="649" w:type="dxa"/>
            <w:vMerge/>
          </w:tcPr>
          <w:p w14:paraId="50AE6F4D" w14:textId="77777777" w:rsidR="00E07158" w:rsidRPr="00BD3D80" w:rsidRDefault="00E07158" w:rsidP="005E526B">
            <w:pPr>
              <w:rPr>
                <w:lang w:val="fr-FR"/>
              </w:rPr>
            </w:pPr>
          </w:p>
        </w:tc>
        <w:tc>
          <w:tcPr>
            <w:tcW w:w="4733" w:type="dxa"/>
          </w:tcPr>
          <w:p w14:paraId="4EF0C160" w14:textId="19ED8A4E" w:rsidR="00E07158" w:rsidRPr="00BD3D80" w:rsidRDefault="00317BFC" w:rsidP="005E526B">
            <w:pPr>
              <w:rPr>
                <w:lang w:val="fr-FR"/>
              </w:rPr>
            </w:pPr>
            <w:r>
              <w:rPr>
                <w:rFonts w:eastAsia="Times New Roman" w:cstheme="majorHAnsi"/>
                <w:sz w:val="20"/>
                <w:szCs w:val="20"/>
                <w:lang w:val="fr-FR"/>
              </w:rPr>
              <w:t>3.1.7 Les citoyens ont bénéficié de formations et d</w:t>
            </w:r>
            <w:r w:rsidR="002C54BD">
              <w:rPr>
                <w:rFonts w:eastAsia="Times New Roman" w:cstheme="majorHAnsi"/>
                <w:sz w:val="20"/>
                <w:szCs w:val="20"/>
                <w:lang w:val="fr-FR"/>
              </w:rPr>
              <w:t>’</w:t>
            </w:r>
            <w:r>
              <w:rPr>
                <w:rFonts w:eastAsia="Times New Roman" w:cstheme="majorHAnsi"/>
                <w:sz w:val="20"/>
                <w:szCs w:val="20"/>
                <w:lang w:val="fr-FR"/>
              </w:rPr>
              <w:t>une campagne de sensibilisation sur l</w:t>
            </w:r>
            <w:r w:rsidR="002C54BD">
              <w:rPr>
                <w:rFonts w:eastAsia="Times New Roman" w:cstheme="majorHAnsi"/>
                <w:sz w:val="20"/>
                <w:szCs w:val="20"/>
                <w:lang w:val="fr-FR"/>
              </w:rPr>
              <w:t>’</w:t>
            </w:r>
            <w:r>
              <w:rPr>
                <w:rFonts w:eastAsia="Times New Roman" w:cstheme="majorHAnsi"/>
                <w:sz w:val="20"/>
                <w:szCs w:val="20"/>
                <w:lang w:val="fr-FR"/>
              </w:rPr>
              <w:t>engagement du gouvernement</w:t>
            </w:r>
          </w:p>
        </w:tc>
        <w:tc>
          <w:tcPr>
            <w:tcW w:w="4817" w:type="dxa"/>
          </w:tcPr>
          <w:p w14:paraId="05376901" w14:textId="77777777" w:rsidR="00E07158" w:rsidRPr="00BD3D80" w:rsidRDefault="00E07158" w:rsidP="00997566">
            <w:pPr>
              <w:pStyle w:val="ListParagraph"/>
              <w:numPr>
                <w:ilvl w:val="0"/>
                <w:numId w:val="13"/>
              </w:numPr>
              <w:ind w:left="465" w:hanging="425"/>
              <w:rPr>
                <w:rFonts w:eastAsia="Times New Roman" w:cstheme="majorHAnsi"/>
                <w:sz w:val="20"/>
                <w:szCs w:val="20"/>
                <w:lang w:val="fr-FR"/>
              </w:rPr>
            </w:pPr>
            <w:r>
              <w:rPr>
                <w:rFonts w:eastAsia="Times New Roman" w:cstheme="majorHAnsi"/>
                <w:sz w:val="20"/>
                <w:szCs w:val="20"/>
                <w:lang w:val="fr-FR"/>
              </w:rPr>
              <w:t>Nombre de personnes ayant bénéficié de formations (ventilées par thème, sexe, type de partie prenante et niveau national et infranational)</w:t>
            </w:r>
          </w:p>
          <w:p w14:paraId="2E2B7A41" w14:textId="77777777" w:rsidR="00E07158" w:rsidRPr="00BD3D80" w:rsidRDefault="00E07158" w:rsidP="00997566">
            <w:pPr>
              <w:pStyle w:val="ListParagraph"/>
              <w:numPr>
                <w:ilvl w:val="0"/>
                <w:numId w:val="13"/>
              </w:numPr>
              <w:ind w:left="465" w:hanging="425"/>
              <w:rPr>
                <w:lang w:val="fr-FR"/>
              </w:rPr>
            </w:pPr>
            <w:r>
              <w:rPr>
                <w:rFonts w:eastAsia="Times New Roman" w:cstheme="majorHAnsi"/>
                <w:sz w:val="20"/>
                <w:szCs w:val="20"/>
                <w:lang w:val="fr-FR"/>
              </w:rPr>
              <w:t>Nombre de personnes touchées grâce aux campagnes publiques (ventilées par thème, sexe, type de partie prenante et niveau national et infranational)</w:t>
            </w:r>
          </w:p>
        </w:tc>
      </w:tr>
      <w:tr w:rsidR="00E07158" w:rsidRPr="00880085" w14:paraId="5727CECE" w14:textId="77777777" w:rsidTr="005E526B">
        <w:trPr>
          <w:trHeight w:val="270"/>
          <w:jc w:val="center"/>
        </w:trPr>
        <w:tc>
          <w:tcPr>
            <w:tcW w:w="649" w:type="dxa"/>
            <w:vMerge/>
          </w:tcPr>
          <w:p w14:paraId="2A28CD60" w14:textId="77777777" w:rsidR="00E07158" w:rsidRPr="00BD3D80" w:rsidRDefault="00E07158" w:rsidP="005E526B">
            <w:pPr>
              <w:rPr>
                <w:lang w:val="fr-FR"/>
              </w:rPr>
            </w:pPr>
          </w:p>
        </w:tc>
        <w:tc>
          <w:tcPr>
            <w:tcW w:w="4733" w:type="dxa"/>
          </w:tcPr>
          <w:p w14:paraId="7A5BB855" w14:textId="44CC4F53" w:rsidR="00E07158" w:rsidRPr="00BD3D80" w:rsidRDefault="00317BFC" w:rsidP="005E526B">
            <w:pPr>
              <w:rPr>
                <w:lang w:val="fr-FR"/>
              </w:rPr>
            </w:pPr>
            <w:r>
              <w:rPr>
                <w:rFonts w:eastAsia="Times New Roman" w:cstheme="majorHAnsi"/>
                <w:sz w:val="20"/>
                <w:szCs w:val="20"/>
                <w:lang w:val="fr-FR"/>
              </w:rPr>
              <w:t>3.1.8 Réalisation d</w:t>
            </w:r>
            <w:r w:rsidR="002C54BD">
              <w:rPr>
                <w:rFonts w:eastAsia="Times New Roman" w:cstheme="majorHAnsi"/>
                <w:sz w:val="20"/>
                <w:szCs w:val="20"/>
                <w:lang w:val="fr-FR"/>
              </w:rPr>
              <w:t>’</w:t>
            </w:r>
            <w:r>
              <w:rPr>
                <w:rFonts w:eastAsia="Times New Roman" w:cstheme="majorHAnsi"/>
                <w:sz w:val="20"/>
                <w:szCs w:val="20"/>
                <w:lang w:val="fr-FR"/>
              </w:rPr>
              <w:t>activités de mobilisation publique pour exiger que les gouvernements respectent leurs engagements</w:t>
            </w:r>
            <w:r w:rsidR="00C26CAB">
              <w:rPr>
                <w:rFonts w:eastAsia="Times New Roman" w:cstheme="majorHAnsi"/>
                <w:sz w:val="20"/>
                <w:szCs w:val="20"/>
                <w:lang w:val="fr-FR"/>
              </w:rPr>
              <w:t xml:space="preserve"> </w:t>
            </w:r>
          </w:p>
        </w:tc>
        <w:tc>
          <w:tcPr>
            <w:tcW w:w="4817" w:type="dxa"/>
          </w:tcPr>
          <w:p w14:paraId="2BBB9AA1" w14:textId="01C43921" w:rsidR="00E07158" w:rsidRPr="00BD3D80" w:rsidRDefault="00317BFC" w:rsidP="00997566">
            <w:pPr>
              <w:pStyle w:val="ListParagraph"/>
              <w:numPr>
                <w:ilvl w:val="0"/>
                <w:numId w:val="13"/>
              </w:numPr>
              <w:ind w:left="465" w:hanging="425"/>
              <w:rPr>
                <w:sz w:val="20"/>
                <w:szCs w:val="20"/>
                <w:lang w:val="fr-FR"/>
              </w:rPr>
            </w:pPr>
            <w:r>
              <w:rPr>
                <w:sz w:val="20"/>
                <w:szCs w:val="20"/>
                <w:lang w:val="fr-FR"/>
              </w:rPr>
              <w:t>Nombre d</w:t>
            </w:r>
            <w:r w:rsidR="002C54BD">
              <w:rPr>
                <w:sz w:val="20"/>
                <w:szCs w:val="20"/>
                <w:lang w:val="fr-FR"/>
              </w:rPr>
              <w:t>’</w:t>
            </w:r>
            <w:r>
              <w:rPr>
                <w:sz w:val="20"/>
                <w:szCs w:val="20"/>
                <w:lang w:val="fr-FR"/>
              </w:rPr>
              <w:t>événements de mobilisation du public pour demander aux gouvernements de rendre compte de leurs engagements</w:t>
            </w:r>
          </w:p>
        </w:tc>
      </w:tr>
      <w:tr w:rsidR="00E07158" w:rsidRPr="00880085" w14:paraId="38F6940B" w14:textId="77777777" w:rsidTr="005E526B">
        <w:trPr>
          <w:trHeight w:val="270"/>
          <w:jc w:val="center"/>
        </w:trPr>
        <w:tc>
          <w:tcPr>
            <w:tcW w:w="649" w:type="dxa"/>
            <w:vMerge/>
          </w:tcPr>
          <w:p w14:paraId="2D359725" w14:textId="77777777" w:rsidR="00E07158" w:rsidRPr="00BD3D80" w:rsidRDefault="00E07158" w:rsidP="005E526B">
            <w:pPr>
              <w:rPr>
                <w:lang w:val="fr-FR"/>
              </w:rPr>
            </w:pPr>
          </w:p>
        </w:tc>
        <w:tc>
          <w:tcPr>
            <w:tcW w:w="4733" w:type="dxa"/>
          </w:tcPr>
          <w:p w14:paraId="7BF425E7" w14:textId="3F5016EA" w:rsidR="00E07158" w:rsidRPr="00BD3D80" w:rsidRDefault="00317BFC" w:rsidP="005E526B">
            <w:pPr>
              <w:rPr>
                <w:lang w:val="fr-FR"/>
              </w:rPr>
            </w:pPr>
            <w:r>
              <w:rPr>
                <w:rFonts w:eastAsia="Times New Roman" w:cstheme="majorHAnsi"/>
                <w:sz w:val="20"/>
                <w:szCs w:val="20"/>
                <w:lang w:val="fr-FR"/>
              </w:rPr>
              <w:t>3.1.9 Les ASC soutiennent les ambassadeurs parlementaires pour demander des comptes au gouvernement sur les engagements en matière de nutrition</w:t>
            </w:r>
          </w:p>
        </w:tc>
        <w:tc>
          <w:tcPr>
            <w:tcW w:w="4817" w:type="dxa"/>
          </w:tcPr>
          <w:p w14:paraId="605F0959" w14:textId="77777777" w:rsidR="00E07158" w:rsidRPr="00BD3D80" w:rsidRDefault="00E07158" w:rsidP="00997566">
            <w:pPr>
              <w:pStyle w:val="ListParagraph"/>
              <w:numPr>
                <w:ilvl w:val="0"/>
                <w:numId w:val="13"/>
              </w:numPr>
              <w:ind w:left="465" w:hanging="425"/>
              <w:rPr>
                <w:lang w:val="fr-FR"/>
              </w:rPr>
            </w:pPr>
            <w:r>
              <w:rPr>
                <w:rFonts w:eastAsia="Times New Roman" w:cstheme="majorHAnsi"/>
                <w:sz w:val="20"/>
                <w:szCs w:val="20"/>
                <w:lang w:val="fr-FR"/>
              </w:rPr>
              <w:t>Nombre de parlementaires activement engagés (ventilés par sexe, au niveau national et infranational)</w:t>
            </w:r>
          </w:p>
        </w:tc>
      </w:tr>
      <w:tr w:rsidR="00E07158" w:rsidRPr="00880085" w14:paraId="18DC26F9" w14:textId="77777777" w:rsidTr="005E526B">
        <w:trPr>
          <w:trHeight w:val="270"/>
          <w:jc w:val="center"/>
        </w:trPr>
        <w:tc>
          <w:tcPr>
            <w:tcW w:w="649" w:type="dxa"/>
            <w:vMerge w:val="restart"/>
            <w:textDirection w:val="btLr"/>
          </w:tcPr>
          <w:p w14:paraId="669A355F" w14:textId="1050368C" w:rsidR="00E07158" w:rsidRDefault="00E07158" w:rsidP="005E526B">
            <w:pPr>
              <w:ind w:left="113" w:right="113"/>
              <w:jc w:val="center"/>
            </w:pPr>
            <w:r>
              <w:rPr>
                <w:lang w:val="fr-FR"/>
              </w:rPr>
              <w:t>Résultat intermédiaire</w:t>
            </w:r>
            <w:r w:rsidR="002C54BD">
              <w:rPr>
                <w:lang w:val="fr-FR"/>
              </w:rPr>
              <w:t> </w:t>
            </w:r>
            <w:r>
              <w:rPr>
                <w:lang w:val="fr-FR"/>
              </w:rPr>
              <w:t>3.2</w:t>
            </w:r>
          </w:p>
        </w:tc>
        <w:tc>
          <w:tcPr>
            <w:tcW w:w="4733" w:type="dxa"/>
          </w:tcPr>
          <w:p w14:paraId="510947A5" w14:textId="556AED14" w:rsidR="00E07158" w:rsidRPr="00BD3D80" w:rsidRDefault="00317BFC" w:rsidP="005E526B">
            <w:pPr>
              <w:rPr>
                <w:rFonts w:eastAsia="Times New Roman" w:cstheme="majorHAnsi"/>
                <w:sz w:val="20"/>
                <w:szCs w:val="20"/>
                <w:lang w:val="fr-FR"/>
              </w:rPr>
            </w:pPr>
            <w:r>
              <w:rPr>
                <w:rFonts w:eastAsia="Times New Roman" w:cstheme="majorHAnsi"/>
                <w:sz w:val="20"/>
                <w:szCs w:val="20"/>
                <w:lang w:val="fr-FR"/>
              </w:rPr>
              <w:t>3.2.1 Production d</w:t>
            </w:r>
            <w:r w:rsidR="002C54BD">
              <w:rPr>
                <w:rFonts w:eastAsia="Times New Roman" w:cstheme="majorHAnsi"/>
                <w:sz w:val="20"/>
                <w:szCs w:val="20"/>
                <w:lang w:val="fr-FR"/>
              </w:rPr>
              <w:t>’</w:t>
            </w:r>
            <w:r>
              <w:rPr>
                <w:rFonts w:eastAsia="Times New Roman" w:cstheme="majorHAnsi"/>
                <w:sz w:val="20"/>
                <w:szCs w:val="20"/>
                <w:lang w:val="fr-FR"/>
              </w:rPr>
              <w:t>une évaluation des lacunes dans les données générées au niveau national ou infranational</w:t>
            </w:r>
          </w:p>
        </w:tc>
        <w:tc>
          <w:tcPr>
            <w:tcW w:w="4817" w:type="dxa"/>
          </w:tcPr>
          <w:p w14:paraId="22D67891" w14:textId="20F29098" w:rsidR="00E07158" w:rsidRPr="00BD3D80" w:rsidRDefault="00E07158" w:rsidP="00997566">
            <w:pPr>
              <w:pStyle w:val="ListParagraph"/>
              <w:numPr>
                <w:ilvl w:val="0"/>
                <w:numId w:val="13"/>
              </w:numPr>
              <w:ind w:left="465" w:hanging="425"/>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analyses des lacunes dans les données (par thème)</w:t>
            </w:r>
          </w:p>
        </w:tc>
      </w:tr>
      <w:tr w:rsidR="00317BFC" w:rsidRPr="00880085" w14:paraId="745F08EF" w14:textId="77777777" w:rsidTr="005E526B">
        <w:trPr>
          <w:trHeight w:val="270"/>
          <w:jc w:val="center"/>
        </w:trPr>
        <w:tc>
          <w:tcPr>
            <w:tcW w:w="649" w:type="dxa"/>
            <w:vMerge/>
            <w:textDirection w:val="btLr"/>
          </w:tcPr>
          <w:p w14:paraId="54B3C406" w14:textId="77777777" w:rsidR="00317BFC" w:rsidRPr="00BD3D80" w:rsidRDefault="00317BFC" w:rsidP="005E526B">
            <w:pPr>
              <w:ind w:left="113" w:right="113"/>
              <w:jc w:val="center"/>
              <w:rPr>
                <w:lang w:val="fr-FR"/>
              </w:rPr>
            </w:pPr>
          </w:p>
        </w:tc>
        <w:tc>
          <w:tcPr>
            <w:tcW w:w="4733" w:type="dxa"/>
          </w:tcPr>
          <w:p w14:paraId="0F7407CE" w14:textId="1DC49906" w:rsidR="00317BFC" w:rsidRPr="00BD3D80" w:rsidRDefault="00317BFC" w:rsidP="005E526B">
            <w:pPr>
              <w:rPr>
                <w:rFonts w:eastAsia="Times New Roman" w:cstheme="majorHAnsi"/>
                <w:sz w:val="20"/>
                <w:szCs w:val="20"/>
                <w:lang w:val="fr-FR"/>
              </w:rPr>
            </w:pPr>
            <w:r>
              <w:rPr>
                <w:rFonts w:eastAsia="Times New Roman" w:cstheme="majorHAnsi"/>
                <w:sz w:val="20"/>
                <w:szCs w:val="20"/>
                <w:lang w:val="fr-FR"/>
              </w:rPr>
              <w:t xml:space="preserve">3.2.2 Des </w:t>
            </w:r>
            <w:r w:rsidR="00DB062F">
              <w:rPr>
                <w:rFonts w:eastAsia="Times New Roman" w:cstheme="majorHAnsi"/>
                <w:sz w:val="20"/>
                <w:szCs w:val="20"/>
                <w:lang w:val="fr-FR"/>
              </w:rPr>
              <w:t>notes d’information</w:t>
            </w:r>
            <w:r>
              <w:rPr>
                <w:rFonts w:eastAsia="Times New Roman" w:cstheme="majorHAnsi"/>
                <w:sz w:val="20"/>
                <w:szCs w:val="20"/>
                <w:lang w:val="fr-FR"/>
              </w:rPr>
              <w:t xml:space="preserve"> sur le plaidoyer portant sur l</w:t>
            </w:r>
            <w:r w:rsidR="002C54BD">
              <w:rPr>
                <w:rFonts w:eastAsia="Times New Roman" w:cstheme="majorHAnsi"/>
                <w:sz w:val="20"/>
                <w:szCs w:val="20"/>
                <w:lang w:val="fr-FR"/>
              </w:rPr>
              <w:t>’</w:t>
            </w:r>
            <w:r>
              <w:rPr>
                <w:rFonts w:eastAsia="Times New Roman" w:cstheme="majorHAnsi"/>
                <w:sz w:val="20"/>
                <w:szCs w:val="20"/>
                <w:lang w:val="fr-FR"/>
              </w:rPr>
              <w:t>amélioration des modalités de collecte/partage des données sont élaboré</w:t>
            </w:r>
            <w:r w:rsidR="00C26CAB">
              <w:rPr>
                <w:rFonts w:eastAsia="Times New Roman" w:cstheme="majorHAnsi"/>
                <w:sz w:val="20"/>
                <w:szCs w:val="20"/>
                <w:lang w:val="fr-FR"/>
              </w:rPr>
              <w:t>e</w:t>
            </w:r>
            <w:r>
              <w:rPr>
                <w:rFonts w:eastAsia="Times New Roman" w:cstheme="majorHAnsi"/>
                <w:sz w:val="20"/>
                <w:szCs w:val="20"/>
                <w:lang w:val="fr-FR"/>
              </w:rPr>
              <w:t>s et diffusé</w:t>
            </w:r>
            <w:r w:rsidR="00C26CAB">
              <w:rPr>
                <w:rFonts w:eastAsia="Times New Roman" w:cstheme="majorHAnsi"/>
                <w:sz w:val="20"/>
                <w:szCs w:val="20"/>
                <w:lang w:val="fr-FR"/>
              </w:rPr>
              <w:t>e</w:t>
            </w:r>
            <w:r>
              <w:rPr>
                <w:rFonts w:eastAsia="Times New Roman" w:cstheme="majorHAnsi"/>
                <w:sz w:val="20"/>
                <w:szCs w:val="20"/>
                <w:lang w:val="fr-FR"/>
              </w:rPr>
              <w:t>s</w:t>
            </w:r>
          </w:p>
        </w:tc>
        <w:tc>
          <w:tcPr>
            <w:tcW w:w="4817" w:type="dxa"/>
          </w:tcPr>
          <w:p w14:paraId="75C7345B" w14:textId="77777777" w:rsidR="00317BFC" w:rsidRPr="00BD3D80" w:rsidRDefault="00317BFC" w:rsidP="00997566">
            <w:pPr>
              <w:pStyle w:val="ListParagraph"/>
              <w:numPr>
                <w:ilvl w:val="0"/>
                <w:numId w:val="13"/>
              </w:numPr>
              <w:ind w:left="465" w:hanging="425"/>
              <w:rPr>
                <w:rFonts w:eastAsia="Times New Roman" w:cstheme="majorHAnsi"/>
                <w:sz w:val="20"/>
                <w:szCs w:val="20"/>
                <w:lang w:val="fr-FR"/>
              </w:rPr>
            </w:pPr>
            <w:r>
              <w:rPr>
                <w:rFonts w:eastAsia="Times New Roman" w:cstheme="majorHAnsi"/>
                <w:sz w:val="20"/>
                <w:szCs w:val="20"/>
                <w:lang w:val="fr-FR"/>
              </w:rPr>
              <w:t>Nombre de recommandations visant à combler les lacunes en matière de données partagées avec les autorités et les principales parties prenantes</w:t>
            </w:r>
          </w:p>
          <w:p w14:paraId="715C1358" w14:textId="77777777" w:rsidR="00317BFC" w:rsidRPr="00BD3D80" w:rsidRDefault="00317BFC" w:rsidP="00997566">
            <w:pPr>
              <w:ind w:left="465" w:hanging="425"/>
              <w:rPr>
                <w:rFonts w:eastAsia="Times New Roman" w:cstheme="majorHAnsi"/>
                <w:sz w:val="20"/>
                <w:szCs w:val="20"/>
                <w:lang w:val="fr-FR"/>
              </w:rPr>
            </w:pPr>
          </w:p>
        </w:tc>
      </w:tr>
      <w:tr w:rsidR="00E07158" w:rsidRPr="00880085" w14:paraId="49FF8128" w14:textId="77777777" w:rsidTr="005E526B">
        <w:trPr>
          <w:trHeight w:val="270"/>
          <w:jc w:val="center"/>
        </w:trPr>
        <w:tc>
          <w:tcPr>
            <w:tcW w:w="649" w:type="dxa"/>
            <w:vMerge/>
          </w:tcPr>
          <w:p w14:paraId="50CFDF32" w14:textId="77777777" w:rsidR="00E07158" w:rsidRPr="00BD3D80" w:rsidRDefault="00E07158" w:rsidP="005E526B">
            <w:pPr>
              <w:rPr>
                <w:lang w:val="fr-FR"/>
              </w:rPr>
            </w:pPr>
          </w:p>
        </w:tc>
        <w:tc>
          <w:tcPr>
            <w:tcW w:w="4733" w:type="dxa"/>
          </w:tcPr>
          <w:p w14:paraId="51B2589B" w14:textId="3AB56788" w:rsidR="00E07158" w:rsidRPr="00BD3D80" w:rsidRDefault="00317BFC" w:rsidP="005E526B">
            <w:pPr>
              <w:rPr>
                <w:lang w:val="fr-FR"/>
              </w:rPr>
            </w:pPr>
            <w:r>
              <w:rPr>
                <w:rFonts w:eastAsia="Times New Roman" w:cstheme="majorHAnsi"/>
                <w:sz w:val="20"/>
                <w:szCs w:val="20"/>
                <w:lang w:val="fr-FR"/>
              </w:rPr>
              <w:t>3.2.3 Ensemble</w:t>
            </w:r>
            <w:r w:rsidR="008F2AF4">
              <w:rPr>
                <w:rFonts w:eastAsia="Times New Roman" w:cstheme="majorHAnsi"/>
                <w:sz w:val="20"/>
                <w:szCs w:val="20"/>
                <w:lang w:val="fr-FR"/>
              </w:rPr>
              <w:t>s</w:t>
            </w:r>
            <w:r>
              <w:rPr>
                <w:rFonts w:eastAsia="Times New Roman" w:cstheme="majorHAnsi"/>
                <w:sz w:val="20"/>
                <w:szCs w:val="20"/>
                <w:lang w:val="fr-FR"/>
              </w:rPr>
              <w:t xml:space="preserve"> de données désagrégées collectées au niveau national/infranational, notamment parmi les groupes exclus et vulnérables, pour suivre les progrès réalisés par rapport aux engagements</w:t>
            </w:r>
          </w:p>
        </w:tc>
        <w:tc>
          <w:tcPr>
            <w:tcW w:w="4817" w:type="dxa"/>
          </w:tcPr>
          <w:p w14:paraId="41FE0B2C" w14:textId="1FF82AE0" w:rsidR="00E07158" w:rsidRPr="00BD3D80" w:rsidRDefault="00E07158" w:rsidP="00997566">
            <w:pPr>
              <w:pStyle w:val="ListParagraph"/>
              <w:numPr>
                <w:ilvl w:val="0"/>
                <w:numId w:val="13"/>
              </w:numPr>
              <w:ind w:left="465" w:hanging="425"/>
              <w:rPr>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ensembles de données disponibles</w:t>
            </w:r>
          </w:p>
        </w:tc>
      </w:tr>
      <w:tr w:rsidR="00E07158" w:rsidRPr="00880085" w14:paraId="078D5699" w14:textId="77777777" w:rsidTr="005E526B">
        <w:trPr>
          <w:trHeight w:val="270"/>
          <w:jc w:val="center"/>
        </w:trPr>
        <w:tc>
          <w:tcPr>
            <w:tcW w:w="649" w:type="dxa"/>
            <w:vMerge/>
          </w:tcPr>
          <w:p w14:paraId="6A0AC421" w14:textId="77777777" w:rsidR="00E07158" w:rsidRPr="00BD3D80" w:rsidRDefault="00E07158" w:rsidP="005E526B">
            <w:pPr>
              <w:rPr>
                <w:lang w:val="fr-FR"/>
              </w:rPr>
            </w:pPr>
          </w:p>
        </w:tc>
        <w:tc>
          <w:tcPr>
            <w:tcW w:w="4733" w:type="dxa"/>
          </w:tcPr>
          <w:p w14:paraId="3A1315B5" w14:textId="024BBB2B" w:rsidR="00E07158" w:rsidRPr="00BD3D80" w:rsidRDefault="00317BFC" w:rsidP="005E526B">
            <w:pPr>
              <w:rPr>
                <w:rFonts w:eastAsia="Times New Roman" w:cstheme="majorHAnsi"/>
                <w:sz w:val="20"/>
                <w:szCs w:val="20"/>
                <w:lang w:val="fr-FR"/>
              </w:rPr>
            </w:pPr>
            <w:r>
              <w:rPr>
                <w:rFonts w:eastAsia="Times New Roman" w:cstheme="majorHAnsi"/>
                <w:sz w:val="20"/>
                <w:szCs w:val="20"/>
                <w:lang w:val="fr-FR"/>
              </w:rPr>
              <w:t>3.2.4 Données collectées diffusées dans les médias pour mettre en évidence les défis ou les progrès actuels au niveau national et infranational</w:t>
            </w:r>
          </w:p>
          <w:p w14:paraId="02BB1E87" w14:textId="7F327A04" w:rsidR="00E07158" w:rsidRPr="00BD3D80" w:rsidRDefault="00E07158" w:rsidP="005E526B">
            <w:pPr>
              <w:rPr>
                <w:rFonts w:eastAsia="Times New Roman" w:cstheme="majorHAnsi"/>
                <w:sz w:val="20"/>
                <w:szCs w:val="20"/>
                <w:lang w:val="fr-FR"/>
              </w:rPr>
            </w:pPr>
          </w:p>
        </w:tc>
        <w:tc>
          <w:tcPr>
            <w:tcW w:w="4817" w:type="dxa"/>
          </w:tcPr>
          <w:p w14:paraId="7652EA58" w14:textId="45BB9BA7" w:rsidR="00E07158" w:rsidRPr="00BD3D80" w:rsidRDefault="00E07158" w:rsidP="00997566">
            <w:pPr>
              <w:pStyle w:val="ListParagraph"/>
              <w:numPr>
                <w:ilvl w:val="0"/>
                <w:numId w:val="13"/>
              </w:numPr>
              <w:ind w:left="465" w:hanging="425"/>
              <w:rPr>
                <w:rFonts w:eastAsia="Times New Roman" w:cstheme="majorHAnsi"/>
                <w:sz w:val="20"/>
                <w:szCs w:val="20"/>
                <w:lang w:val="fr-FR"/>
              </w:rPr>
            </w:pPr>
            <w:r>
              <w:rPr>
                <w:rFonts w:eastAsia="Times New Roman" w:cstheme="majorHAnsi"/>
                <w:sz w:val="20"/>
                <w:szCs w:val="20"/>
                <w:lang w:val="fr-FR"/>
              </w:rPr>
              <w:t xml:space="preserve">Nombre de communiqués de presse </w:t>
            </w:r>
            <w:r w:rsidR="00676958">
              <w:rPr>
                <w:rFonts w:eastAsia="Times New Roman" w:cstheme="majorHAnsi"/>
                <w:sz w:val="20"/>
                <w:szCs w:val="20"/>
                <w:lang w:val="fr-FR"/>
              </w:rPr>
              <w:t>diffusant</w:t>
            </w:r>
            <w:r>
              <w:rPr>
                <w:rFonts w:eastAsia="Times New Roman" w:cstheme="majorHAnsi"/>
                <w:sz w:val="20"/>
                <w:szCs w:val="20"/>
                <w:lang w:val="fr-FR"/>
              </w:rPr>
              <w:t xml:space="preserve"> des données actualisées/les progrès</w:t>
            </w:r>
          </w:p>
          <w:p w14:paraId="65F51E03" w14:textId="4E7FF89E" w:rsidR="00E07158" w:rsidRPr="00BD3D80" w:rsidRDefault="00E07158" w:rsidP="009B1871">
            <w:pPr>
              <w:pStyle w:val="ListParagraph"/>
              <w:ind w:left="465"/>
              <w:rPr>
                <w:lang w:val="fr-FR"/>
              </w:rPr>
            </w:pPr>
          </w:p>
        </w:tc>
      </w:tr>
      <w:tr w:rsidR="00DC3E3F" w:rsidRPr="00880085" w14:paraId="31285763" w14:textId="77777777" w:rsidTr="005E526B">
        <w:trPr>
          <w:trHeight w:val="270"/>
          <w:jc w:val="center"/>
        </w:trPr>
        <w:tc>
          <w:tcPr>
            <w:tcW w:w="649" w:type="dxa"/>
            <w:vMerge/>
          </w:tcPr>
          <w:p w14:paraId="79B2EE5D" w14:textId="77777777" w:rsidR="00DC3E3F" w:rsidRPr="00BD3D80" w:rsidRDefault="00DC3E3F" w:rsidP="005E526B">
            <w:pPr>
              <w:rPr>
                <w:lang w:val="fr-FR"/>
              </w:rPr>
            </w:pPr>
          </w:p>
        </w:tc>
        <w:tc>
          <w:tcPr>
            <w:tcW w:w="4733" w:type="dxa"/>
          </w:tcPr>
          <w:p w14:paraId="606F5C65" w14:textId="7B25128E" w:rsidR="00DC3E3F" w:rsidRPr="00BD3D80" w:rsidRDefault="00DC3E3F" w:rsidP="005E526B">
            <w:pPr>
              <w:rPr>
                <w:rFonts w:eastAsia="Times New Roman" w:cstheme="majorHAnsi"/>
                <w:sz w:val="20"/>
                <w:szCs w:val="20"/>
                <w:lang w:val="fr-FR"/>
              </w:rPr>
            </w:pPr>
            <w:r>
              <w:rPr>
                <w:rFonts w:eastAsia="Times New Roman" w:cstheme="majorHAnsi"/>
                <w:sz w:val="20"/>
                <w:szCs w:val="20"/>
                <w:lang w:val="fr-FR"/>
              </w:rPr>
              <w:t>3.2.5 Les décideurs politiques sont informés des progrès actuels grâce aux données recueillies</w:t>
            </w:r>
          </w:p>
        </w:tc>
        <w:tc>
          <w:tcPr>
            <w:tcW w:w="4817" w:type="dxa"/>
          </w:tcPr>
          <w:p w14:paraId="0D0C09A5" w14:textId="0E357FEE" w:rsidR="00DC3E3F" w:rsidRPr="00BD3D80" w:rsidRDefault="00DC3E3F" w:rsidP="00997566">
            <w:pPr>
              <w:pStyle w:val="ListParagraph"/>
              <w:numPr>
                <w:ilvl w:val="0"/>
                <w:numId w:val="13"/>
              </w:numPr>
              <w:ind w:left="465" w:hanging="425"/>
              <w:rPr>
                <w:rFonts w:eastAsia="Times New Roman" w:cstheme="majorHAnsi"/>
                <w:sz w:val="20"/>
                <w:szCs w:val="20"/>
                <w:lang w:val="fr-FR"/>
              </w:rPr>
            </w:pPr>
            <w:r>
              <w:rPr>
                <w:rFonts w:eastAsia="Times New Roman" w:cstheme="majorHAnsi"/>
                <w:sz w:val="20"/>
                <w:szCs w:val="20"/>
                <w:lang w:val="fr-FR"/>
              </w:rPr>
              <w:t>Nombre de décideurs politiques ayant reçu des données (ventilés par ministre et par sexe)</w:t>
            </w:r>
          </w:p>
          <w:p w14:paraId="629F9570" w14:textId="47BA48A3" w:rsidR="00DC3E3F" w:rsidRPr="00BD3D80" w:rsidRDefault="00DC3E3F" w:rsidP="00DC3E3F">
            <w:pPr>
              <w:pStyle w:val="ListParagraph"/>
              <w:numPr>
                <w:ilvl w:val="0"/>
                <w:numId w:val="13"/>
              </w:numPr>
              <w:rPr>
                <w:rFonts w:eastAsia="Times New Roman" w:cstheme="majorHAnsi"/>
                <w:sz w:val="20"/>
                <w:szCs w:val="20"/>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 xml:space="preserve">ASC </w:t>
            </w:r>
            <w:r w:rsidR="009B1871">
              <w:rPr>
                <w:rFonts w:eastAsia="Times New Roman" w:cstheme="majorHAnsi"/>
                <w:sz w:val="20"/>
                <w:szCs w:val="20"/>
                <w:lang w:val="fr-FR"/>
              </w:rPr>
              <w:t xml:space="preserve">qui ont fourni </w:t>
            </w:r>
            <w:r>
              <w:rPr>
                <w:rFonts w:eastAsia="Times New Roman" w:cstheme="majorHAnsi"/>
                <w:sz w:val="20"/>
                <w:szCs w:val="20"/>
                <w:lang w:val="fr-FR"/>
              </w:rPr>
              <w:t xml:space="preserve">des données et des contributions de qualité sur la redevabilité et les progrès réalisés </w:t>
            </w:r>
            <w:r w:rsidR="009B1871">
              <w:rPr>
                <w:rFonts w:eastAsia="Times New Roman" w:cstheme="majorHAnsi"/>
                <w:sz w:val="20"/>
                <w:szCs w:val="20"/>
                <w:lang w:val="fr-FR"/>
              </w:rPr>
              <w:t>par rapport aux</w:t>
            </w:r>
            <w:r>
              <w:rPr>
                <w:rFonts w:eastAsia="Times New Roman" w:cstheme="majorHAnsi"/>
                <w:sz w:val="20"/>
                <w:szCs w:val="20"/>
                <w:lang w:val="fr-FR"/>
              </w:rPr>
              <w:t xml:space="preserve"> engagements existants (</w:t>
            </w:r>
            <w:r w:rsidR="00BB74DB">
              <w:rPr>
                <w:rFonts w:eastAsia="Times New Roman" w:cstheme="majorHAnsi"/>
                <w:sz w:val="20"/>
                <w:szCs w:val="20"/>
                <w:lang w:val="fr-FR"/>
              </w:rPr>
              <w:t>fonds communs</w:t>
            </w:r>
            <w:r>
              <w:rPr>
                <w:rFonts w:eastAsia="Times New Roman" w:cstheme="majorHAnsi"/>
                <w:sz w:val="20"/>
                <w:szCs w:val="20"/>
                <w:lang w:val="fr-FR"/>
              </w:rPr>
              <w:t xml:space="preserve"> Produit</w:t>
            </w:r>
            <w:r w:rsidR="002C54BD">
              <w:rPr>
                <w:rFonts w:eastAsia="Times New Roman" w:cstheme="majorHAnsi"/>
                <w:sz w:val="20"/>
                <w:szCs w:val="20"/>
                <w:lang w:val="fr-FR"/>
              </w:rPr>
              <w:t> </w:t>
            </w:r>
            <w:r>
              <w:rPr>
                <w:rFonts w:eastAsia="Times New Roman" w:cstheme="majorHAnsi"/>
                <w:sz w:val="20"/>
                <w:szCs w:val="20"/>
                <w:lang w:val="fr-FR"/>
              </w:rPr>
              <w:t>3.3.1)</w:t>
            </w:r>
          </w:p>
          <w:p w14:paraId="2B387D36" w14:textId="3C8C04C4" w:rsidR="00DC3E3F" w:rsidRPr="00BD3D80" w:rsidRDefault="00DC3E3F" w:rsidP="00B53EAE">
            <w:pPr>
              <w:pStyle w:val="ListParagraph"/>
              <w:rPr>
                <w:rFonts w:eastAsia="Times New Roman" w:cstheme="majorHAnsi"/>
                <w:sz w:val="20"/>
                <w:szCs w:val="20"/>
                <w:lang w:val="fr-FR"/>
              </w:rPr>
            </w:pPr>
          </w:p>
        </w:tc>
      </w:tr>
      <w:tr w:rsidR="00E07158" w:rsidRPr="00880085" w14:paraId="11E918A6" w14:textId="77777777" w:rsidTr="005E526B">
        <w:trPr>
          <w:trHeight w:val="270"/>
          <w:jc w:val="center"/>
        </w:trPr>
        <w:tc>
          <w:tcPr>
            <w:tcW w:w="649" w:type="dxa"/>
            <w:vMerge/>
          </w:tcPr>
          <w:p w14:paraId="543FE893" w14:textId="77777777" w:rsidR="00E07158" w:rsidRPr="00BD3D80" w:rsidRDefault="00E07158" w:rsidP="005E526B">
            <w:pPr>
              <w:rPr>
                <w:lang w:val="fr-FR"/>
              </w:rPr>
            </w:pPr>
          </w:p>
        </w:tc>
        <w:tc>
          <w:tcPr>
            <w:tcW w:w="4733" w:type="dxa"/>
          </w:tcPr>
          <w:p w14:paraId="32CA23B3" w14:textId="1DD9636E" w:rsidR="00E07158" w:rsidRPr="00BD3D80" w:rsidRDefault="00317BFC" w:rsidP="005E526B">
            <w:pPr>
              <w:rPr>
                <w:lang w:val="fr-FR"/>
              </w:rPr>
            </w:pPr>
            <w:r>
              <w:rPr>
                <w:rFonts w:eastAsia="Times New Roman" w:cstheme="majorHAnsi"/>
                <w:sz w:val="20"/>
                <w:szCs w:val="20"/>
                <w:lang w:val="fr-FR"/>
              </w:rPr>
              <w:t xml:space="preserve">3.2.6 </w:t>
            </w:r>
            <w:r w:rsidR="009B1871">
              <w:rPr>
                <w:rFonts w:eastAsia="Times New Roman" w:cstheme="majorHAnsi"/>
                <w:sz w:val="20"/>
                <w:szCs w:val="20"/>
                <w:lang w:val="fr-FR"/>
              </w:rPr>
              <w:t>Les g</w:t>
            </w:r>
            <w:r>
              <w:rPr>
                <w:rFonts w:eastAsia="Times New Roman" w:cstheme="majorHAnsi"/>
                <w:sz w:val="20"/>
                <w:szCs w:val="20"/>
                <w:lang w:val="fr-FR"/>
              </w:rPr>
              <w:t xml:space="preserve">roupes exclus et </w:t>
            </w:r>
            <w:r w:rsidR="009B1871">
              <w:rPr>
                <w:rFonts w:eastAsia="Times New Roman" w:cstheme="majorHAnsi"/>
                <w:sz w:val="20"/>
                <w:szCs w:val="20"/>
                <w:lang w:val="fr-FR"/>
              </w:rPr>
              <w:t xml:space="preserve">les </w:t>
            </w:r>
            <w:r>
              <w:rPr>
                <w:rFonts w:eastAsia="Times New Roman" w:cstheme="majorHAnsi"/>
                <w:sz w:val="20"/>
                <w:szCs w:val="20"/>
                <w:lang w:val="fr-FR"/>
              </w:rPr>
              <w:t>population</w:t>
            </w:r>
            <w:r w:rsidR="009B1871">
              <w:rPr>
                <w:rFonts w:eastAsia="Times New Roman" w:cstheme="majorHAnsi"/>
                <w:sz w:val="20"/>
                <w:szCs w:val="20"/>
                <w:lang w:val="fr-FR"/>
              </w:rPr>
              <w:t>s</w:t>
            </w:r>
            <w:r>
              <w:rPr>
                <w:rFonts w:eastAsia="Times New Roman" w:cstheme="majorHAnsi"/>
                <w:sz w:val="20"/>
                <w:szCs w:val="20"/>
                <w:lang w:val="fr-FR"/>
              </w:rPr>
              <w:t xml:space="preserve"> vulnérable</w:t>
            </w:r>
            <w:r w:rsidR="009B1871">
              <w:rPr>
                <w:rFonts w:eastAsia="Times New Roman" w:cstheme="majorHAnsi"/>
                <w:sz w:val="20"/>
                <w:szCs w:val="20"/>
                <w:lang w:val="fr-FR"/>
              </w:rPr>
              <w:t>s</w:t>
            </w:r>
            <w:r>
              <w:rPr>
                <w:rFonts w:eastAsia="Times New Roman" w:cstheme="majorHAnsi"/>
                <w:sz w:val="20"/>
                <w:szCs w:val="20"/>
                <w:lang w:val="fr-FR"/>
              </w:rPr>
              <w:t xml:space="preserve"> </w:t>
            </w:r>
            <w:r w:rsidR="009B1871">
              <w:rPr>
                <w:rFonts w:eastAsia="Times New Roman" w:cstheme="majorHAnsi"/>
                <w:sz w:val="20"/>
                <w:szCs w:val="20"/>
                <w:lang w:val="fr-FR"/>
              </w:rPr>
              <w:t xml:space="preserve">sont </w:t>
            </w:r>
            <w:r>
              <w:rPr>
                <w:rFonts w:eastAsia="Times New Roman" w:cstheme="majorHAnsi"/>
                <w:sz w:val="20"/>
                <w:szCs w:val="20"/>
                <w:lang w:val="fr-FR"/>
              </w:rPr>
              <w:t>engagés dans des processus de plaidoyer pour mettre en évidence l</w:t>
            </w:r>
            <w:r w:rsidR="002C54BD">
              <w:rPr>
                <w:rFonts w:eastAsia="Times New Roman" w:cstheme="majorHAnsi"/>
                <w:sz w:val="20"/>
                <w:szCs w:val="20"/>
                <w:lang w:val="fr-FR"/>
              </w:rPr>
              <w:t>’</w:t>
            </w:r>
            <w:r>
              <w:rPr>
                <w:rFonts w:eastAsia="Times New Roman" w:cstheme="majorHAnsi"/>
                <w:sz w:val="20"/>
                <w:szCs w:val="20"/>
                <w:lang w:val="fr-FR"/>
              </w:rPr>
              <w:t xml:space="preserve">absence de progrès/les principaux défis/solutions </w:t>
            </w:r>
          </w:p>
        </w:tc>
        <w:tc>
          <w:tcPr>
            <w:tcW w:w="4817" w:type="dxa"/>
          </w:tcPr>
          <w:p w14:paraId="0FC84AC5" w14:textId="21BE04C8" w:rsidR="00E07158" w:rsidRPr="00BD3D80" w:rsidRDefault="00E07158" w:rsidP="00997566">
            <w:pPr>
              <w:pStyle w:val="ListParagraph"/>
              <w:numPr>
                <w:ilvl w:val="0"/>
                <w:numId w:val="13"/>
              </w:numPr>
              <w:ind w:left="465" w:hanging="425"/>
              <w:rPr>
                <w:lang w:val="fr-FR"/>
              </w:rPr>
            </w:pPr>
            <w:r>
              <w:rPr>
                <w:rFonts w:eastAsia="Times New Roman" w:cstheme="majorHAnsi"/>
                <w:sz w:val="20"/>
                <w:szCs w:val="20"/>
                <w:lang w:val="fr-FR"/>
              </w:rPr>
              <w:t xml:space="preserve">Nombre de personnes </w:t>
            </w:r>
            <w:r w:rsidR="009B1871">
              <w:rPr>
                <w:rFonts w:eastAsia="Times New Roman" w:cstheme="majorHAnsi"/>
                <w:sz w:val="20"/>
                <w:szCs w:val="20"/>
                <w:lang w:val="fr-FR"/>
              </w:rPr>
              <w:t>engagées dans</w:t>
            </w:r>
            <w:r>
              <w:rPr>
                <w:rFonts w:eastAsia="Times New Roman" w:cstheme="majorHAnsi"/>
                <w:sz w:val="20"/>
                <w:szCs w:val="20"/>
                <w:lang w:val="fr-FR"/>
              </w:rPr>
              <w:t xml:space="preserve"> des activités de plaidoyer participatives (ventilées par sexe, par type de groupe et par niveau national ou infranational) </w:t>
            </w:r>
          </w:p>
        </w:tc>
      </w:tr>
      <w:tr w:rsidR="00E07158" w:rsidRPr="00880085" w14:paraId="2449E3DF" w14:textId="77777777" w:rsidTr="005E526B">
        <w:trPr>
          <w:trHeight w:val="270"/>
          <w:jc w:val="center"/>
        </w:trPr>
        <w:tc>
          <w:tcPr>
            <w:tcW w:w="649" w:type="dxa"/>
            <w:vMerge/>
          </w:tcPr>
          <w:p w14:paraId="36634ACF" w14:textId="77777777" w:rsidR="00E07158" w:rsidRPr="00BD3D80" w:rsidRDefault="00E07158" w:rsidP="005E526B">
            <w:pPr>
              <w:rPr>
                <w:lang w:val="fr-FR"/>
              </w:rPr>
            </w:pPr>
          </w:p>
        </w:tc>
        <w:tc>
          <w:tcPr>
            <w:tcW w:w="4733" w:type="dxa"/>
          </w:tcPr>
          <w:p w14:paraId="1A39AB03" w14:textId="237E6C3D" w:rsidR="00E07158" w:rsidRPr="00BD3D80" w:rsidRDefault="00317BFC" w:rsidP="005E526B">
            <w:pPr>
              <w:rPr>
                <w:sz w:val="20"/>
                <w:szCs w:val="20"/>
                <w:lang w:val="fr-FR"/>
              </w:rPr>
            </w:pPr>
            <w:r>
              <w:rPr>
                <w:rFonts w:eastAsia="Times New Roman" w:cstheme="majorHAnsi"/>
                <w:sz w:val="20"/>
                <w:szCs w:val="20"/>
                <w:lang w:val="fr-FR"/>
              </w:rPr>
              <w:t>3.2.7 Donateurs et représentants des gouvernements mis au courant des résultats du suivi budgétaire</w:t>
            </w:r>
            <w:r w:rsidR="002C54BD">
              <w:rPr>
                <w:rFonts w:eastAsia="Times New Roman" w:cstheme="majorHAnsi"/>
                <w:sz w:val="20"/>
                <w:szCs w:val="20"/>
                <w:lang w:val="fr-FR"/>
              </w:rPr>
              <w:t> </w:t>
            </w:r>
            <w:r w:rsidR="00644F77">
              <w:rPr>
                <w:rFonts w:eastAsia="Times New Roman" w:cstheme="majorHAnsi"/>
                <w:sz w:val="20"/>
                <w:szCs w:val="20"/>
                <w:lang w:val="fr-FR"/>
              </w:rPr>
              <w:t>;</w:t>
            </w:r>
            <w:r>
              <w:rPr>
                <w:rFonts w:eastAsia="Times New Roman" w:cstheme="majorHAnsi"/>
                <w:sz w:val="20"/>
                <w:szCs w:val="20"/>
                <w:lang w:val="fr-FR"/>
              </w:rPr>
              <w:t xml:space="preserve"> </w:t>
            </w:r>
            <w:r w:rsidR="00644F77">
              <w:rPr>
                <w:lang w:val="fr-FR"/>
              </w:rPr>
              <w:t>des</w:t>
            </w:r>
            <w:r w:rsidR="00644F77" w:rsidRPr="001A45E3">
              <w:rPr>
                <w:lang w:val="fr-FR"/>
              </w:rPr>
              <w:t xml:space="preserve"> fonds sont libérés en temps voulu</w:t>
            </w:r>
          </w:p>
        </w:tc>
        <w:tc>
          <w:tcPr>
            <w:tcW w:w="4817" w:type="dxa"/>
          </w:tcPr>
          <w:p w14:paraId="31625454" w14:textId="2CB98EC8" w:rsidR="00E07158" w:rsidRPr="00BD3D80" w:rsidRDefault="00317BFC" w:rsidP="00997566">
            <w:pPr>
              <w:pStyle w:val="ListParagraph"/>
              <w:numPr>
                <w:ilvl w:val="0"/>
                <w:numId w:val="13"/>
              </w:numPr>
              <w:ind w:left="465" w:hanging="425"/>
              <w:rPr>
                <w:sz w:val="20"/>
                <w:szCs w:val="20"/>
                <w:lang w:val="fr-FR"/>
              </w:rPr>
            </w:pPr>
            <w:r>
              <w:rPr>
                <w:sz w:val="20"/>
                <w:szCs w:val="20"/>
                <w:lang w:val="fr-FR"/>
              </w:rPr>
              <w:t>Nombre de donateurs et de gouvernements informés (ventilés par type et par sexe, au niveau national ou infranational)</w:t>
            </w:r>
          </w:p>
        </w:tc>
      </w:tr>
      <w:tr w:rsidR="00C40889" w:rsidRPr="00880085" w14:paraId="3E3E81D6" w14:textId="77777777" w:rsidTr="005E526B">
        <w:trPr>
          <w:trHeight w:val="270"/>
          <w:jc w:val="center"/>
        </w:trPr>
        <w:tc>
          <w:tcPr>
            <w:tcW w:w="649" w:type="dxa"/>
            <w:vMerge w:val="restart"/>
            <w:textDirection w:val="btLr"/>
          </w:tcPr>
          <w:p w14:paraId="41B7B52F" w14:textId="113AB600" w:rsidR="00C40889" w:rsidRPr="00317BFC" w:rsidRDefault="00C40889" w:rsidP="005E526B">
            <w:pPr>
              <w:ind w:left="113" w:right="113"/>
              <w:rPr>
                <w:sz w:val="16"/>
                <w:szCs w:val="16"/>
              </w:rPr>
            </w:pPr>
            <w:r>
              <w:rPr>
                <w:sz w:val="16"/>
                <w:szCs w:val="16"/>
                <w:lang w:val="fr-FR"/>
              </w:rPr>
              <w:t>Résultat intermédiaire</w:t>
            </w:r>
            <w:r w:rsidR="002C54BD">
              <w:rPr>
                <w:sz w:val="16"/>
                <w:szCs w:val="16"/>
                <w:lang w:val="fr-FR"/>
              </w:rPr>
              <w:t> </w:t>
            </w:r>
            <w:r>
              <w:rPr>
                <w:sz w:val="16"/>
                <w:szCs w:val="16"/>
                <w:lang w:val="fr-FR"/>
              </w:rPr>
              <w:t>3.3</w:t>
            </w:r>
          </w:p>
        </w:tc>
        <w:tc>
          <w:tcPr>
            <w:tcW w:w="4733" w:type="dxa"/>
          </w:tcPr>
          <w:p w14:paraId="27F22CC5" w14:textId="75519127" w:rsidR="00C40889" w:rsidRPr="00BD3D80" w:rsidRDefault="00C40889" w:rsidP="005E526B">
            <w:pPr>
              <w:rPr>
                <w:lang w:val="fr-FR"/>
              </w:rPr>
            </w:pPr>
            <w:r>
              <w:rPr>
                <w:rFonts w:eastAsia="Times New Roman" w:cstheme="majorHAnsi"/>
                <w:sz w:val="20"/>
                <w:szCs w:val="20"/>
                <w:lang w:val="fr-FR"/>
              </w:rPr>
              <w:t xml:space="preserve">3.3.1 Mise à jour de la cartographie des compétences et des interventions des OSC </w:t>
            </w:r>
          </w:p>
        </w:tc>
        <w:tc>
          <w:tcPr>
            <w:tcW w:w="4817" w:type="dxa"/>
          </w:tcPr>
          <w:p w14:paraId="10AC54D1" w14:textId="77777777" w:rsidR="00C40889" w:rsidRPr="00BD3D80" w:rsidRDefault="00C40889" w:rsidP="00997566">
            <w:pPr>
              <w:pStyle w:val="ListParagraph"/>
              <w:numPr>
                <w:ilvl w:val="0"/>
                <w:numId w:val="13"/>
              </w:numPr>
              <w:ind w:left="465" w:hanging="425"/>
              <w:rPr>
                <w:lang w:val="fr-FR"/>
              </w:rPr>
            </w:pPr>
            <w:r>
              <w:rPr>
                <w:rFonts w:eastAsia="Times New Roman" w:cstheme="majorHAnsi"/>
                <w:sz w:val="20"/>
                <w:szCs w:val="20"/>
                <w:lang w:val="fr-FR"/>
              </w:rPr>
              <w:t>Mise à jour du document de cartographie des OSC disponible</w:t>
            </w:r>
          </w:p>
        </w:tc>
      </w:tr>
      <w:tr w:rsidR="00C40889" w:rsidRPr="00880085" w14:paraId="64D267CF" w14:textId="77777777" w:rsidTr="005E526B">
        <w:trPr>
          <w:trHeight w:val="270"/>
          <w:jc w:val="center"/>
        </w:trPr>
        <w:tc>
          <w:tcPr>
            <w:tcW w:w="649" w:type="dxa"/>
            <w:vMerge/>
          </w:tcPr>
          <w:p w14:paraId="7F07B326" w14:textId="77777777" w:rsidR="00C40889" w:rsidRPr="00BD3D80" w:rsidRDefault="00C40889" w:rsidP="005E526B">
            <w:pPr>
              <w:rPr>
                <w:lang w:val="fr-FR"/>
              </w:rPr>
            </w:pPr>
          </w:p>
        </w:tc>
        <w:tc>
          <w:tcPr>
            <w:tcW w:w="4733" w:type="dxa"/>
          </w:tcPr>
          <w:p w14:paraId="6570B2C9" w14:textId="27C372A4" w:rsidR="00C40889" w:rsidRPr="00BD3D80" w:rsidRDefault="00C40889" w:rsidP="005E526B">
            <w:pPr>
              <w:rPr>
                <w:lang w:val="fr-FR"/>
              </w:rPr>
            </w:pPr>
            <w:r>
              <w:rPr>
                <w:rFonts w:eastAsia="Times New Roman" w:cstheme="majorHAnsi"/>
                <w:sz w:val="20"/>
                <w:szCs w:val="20"/>
                <w:lang w:val="fr-FR"/>
              </w:rPr>
              <w:t xml:space="preserve">3.3.2 Représentants des ASC participant à des plateformes </w:t>
            </w:r>
            <w:proofErr w:type="spellStart"/>
            <w:r>
              <w:rPr>
                <w:rFonts w:eastAsia="Times New Roman" w:cstheme="majorHAnsi"/>
                <w:sz w:val="20"/>
                <w:szCs w:val="20"/>
                <w:lang w:val="fr-FR"/>
              </w:rPr>
              <w:t>multiacteurs</w:t>
            </w:r>
            <w:proofErr w:type="spellEnd"/>
            <w:r>
              <w:rPr>
                <w:rFonts w:eastAsia="Times New Roman" w:cstheme="majorHAnsi"/>
                <w:sz w:val="20"/>
                <w:szCs w:val="20"/>
                <w:lang w:val="fr-FR"/>
              </w:rPr>
              <w:t xml:space="preserve"> nationales et infranationales</w:t>
            </w:r>
          </w:p>
        </w:tc>
        <w:tc>
          <w:tcPr>
            <w:tcW w:w="4817" w:type="dxa"/>
          </w:tcPr>
          <w:p w14:paraId="0595F486" w14:textId="1011C2D1" w:rsidR="00C40889" w:rsidRPr="00BD3D80" w:rsidRDefault="00C40889" w:rsidP="00997566">
            <w:pPr>
              <w:pStyle w:val="ListParagraph"/>
              <w:numPr>
                <w:ilvl w:val="0"/>
                <w:numId w:val="13"/>
              </w:numPr>
              <w:ind w:left="465" w:hanging="425"/>
              <w:rPr>
                <w:rFonts w:eastAsia="Times New Roman" w:cstheme="majorHAnsi"/>
                <w:sz w:val="20"/>
                <w:szCs w:val="20"/>
                <w:lang w:val="fr-FR"/>
              </w:rPr>
            </w:pPr>
            <w:r>
              <w:rPr>
                <w:rFonts w:eastAsia="Times New Roman" w:cstheme="majorHAnsi"/>
                <w:sz w:val="20"/>
                <w:szCs w:val="20"/>
                <w:lang w:val="fr-FR"/>
              </w:rPr>
              <w:t xml:space="preserve">Nombre de plateformes </w:t>
            </w:r>
            <w:proofErr w:type="spellStart"/>
            <w:r>
              <w:rPr>
                <w:rFonts w:eastAsia="Times New Roman" w:cstheme="majorHAnsi"/>
                <w:sz w:val="20"/>
                <w:szCs w:val="20"/>
                <w:lang w:val="fr-FR"/>
              </w:rPr>
              <w:t>multiacteurs</w:t>
            </w:r>
            <w:proofErr w:type="spellEnd"/>
            <w:r>
              <w:rPr>
                <w:rFonts w:eastAsia="Times New Roman" w:cstheme="majorHAnsi"/>
                <w:sz w:val="20"/>
                <w:szCs w:val="20"/>
                <w:lang w:val="fr-FR"/>
              </w:rPr>
              <w:t xml:space="preserve"> dans lesquelles les ASC sont systématiquement impliquées au niveau national/infranational</w:t>
            </w:r>
          </w:p>
        </w:tc>
      </w:tr>
      <w:tr w:rsidR="00C40889" w:rsidRPr="00880085" w14:paraId="7234C7D2" w14:textId="77777777" w:rsidTr="005E526B">
        <w:trPr>
          <w:trHeight w:val="270"/>
          <w:jc w:val="center"/>
        </w:trPr>
        <w:tc>
          <w:tcPr>
            <w:tcW w:w="649" w:type="dxa"/>
            <w:vMerge/>
          </w:tcPr>
          <w:p w14:paraId="76E553B3" w14:textId="77777777" w:rsidR="00C40889" w:rsidRPr="00BD3D80" w:rsidRDefault="00C40889" w:rsidP="005E526B">
            <w:pPr>
              <w:rPr>
                <w:lang w:val="fr-FR"/>
              </w:rPr>
            </w:pPr>
          </w:p>
        </w:tc>
        <w:tc>
          <w:tcPr>
            <w:tcW w:w="4733" w:type="dxa"/>
          </w:tcPr>
          <w:p w14:paraId="56C9029F" w14:textId="13DC2F59" w:rsidR="00C40889" w:rsidRPr="00BD3D80" w:rsidRDefault="00C40889" w:rsidP="005E526B">
            <w:pPr>
              <w:rPr>
                <w:lang w:val="fr-FR"/>
              </w:rPr>
            </w:pPr>
            <w:r>
              <w:rPr>
                <w:rFonts w:eastAsia="Times New Roman" w:cstheme="majorHAnsi"/>
                <w:sz w:val="20"/>
                <w:szCs w:val="20"/>
                <w:lang w:val="fr-FR"/>
              </w:rPr>
              <w:t>3.3.3 Collecte, validation et diffusion du retour d</w:t>
            </w:r>
            <w:r w:rsidR="002C54BD">
              <w:rPr>
                <w:rFonts w:eastAsia="Times New Roman" w:cstheme="majorHAnsi"/>
                <w:sz w:val="20"/>
                <w:szCs w:val="20"/>
                <w:lang w:val="fr-FR"/>
              </w:rPr>
              <w:t>’</w:t>
            </w:r>
            <w:r>
              <w:rPr>
                <w:rFonts w:eastAsia="Times New Roman" w:cstheme="majorHAnsi"/>
                <w:sz w:val="20"/>
                <w:szCs w:val="20"/>
                <w:lang w:val="fr-FR"/>
              </w:rPr>
              <w:t>information des communautés sur les services nutritionnels</w:t>
            </w:r>
            <w:r w:rsidR="00C26CAB">
              <w:rPr>
                <w:rFonts w:eastAsia="Times New Roman" w:cstheme="majorHAnsi"/>
                <w:sz w:val="20"/>
                <w:szCs w:val="20"/>
                <w:lang w:val="fr-FR"/>
              </w:rPr>
              <w:t xml:space="preserve"> </w:t>
            </w:r>
          </w:p>
        </w:tc>
        <w:tc>
          <w:tcPr>
            <w:tcW w:w="4817" w:type="dxa"/>
          </w:tcPr>
          <w:p w14:paraId="78766CB1" w14:textId="075490D8" w:rsidR="00C40889" w:rsidRPr="00BD3D80" w:rsidRDefault="00C40889" w:rsidP="00997566">
            <w:pPr>
              <w:pStyle w:val="ListParagraph"/>
              <w:numPr>
                <w:ilvl w:val="0"/>
                <w:numId w:val="13"/>
              </w:numPr>
              <w:ind w:left="465" w:hanging="425"/>
              <w:rPr>
                <w:lang w:val="fr-FR"/>
              </w:rPr>
            </w:pPr>
            <w:r>
              <w:rPr>
                <w:rFonts w:eastAsia="Times New Roman" w:cstheme="majorHAnsi"/>
                <w:sz w:val="20"/>
                <w:szCs w:val="20"/>
                <w:lang w:val="fr-FR"/>
              </w:rPr>
              <w:t>Nombre de résultats d</w:t>
            </w:r>
            <w:r w:rsidR="002C54BD">
              <w:rPr>
                <w:rFonts w:eastAsia="Times New Roman" w:cstheme="majorHAnsi"/>
                <w:sz w:val="20"/>
                <w:szCs w:val="20"/>
                <w:lang w:val="fr-FR"/>
              </w:rPr>
              <w:t>’</w:t>
            </w:r>
            <w:r>
              <w:rPr>
                <w:rFonts w:eastAsia="Times New Roman" w:cstheme="majorHAnsi"/>
                <w:sz w:val="20"/>
                <w:szCs w:val="20"/>
                <w:lang w:val="fr-FR"/>
              </w:rPr>
              <w:t>évaluations communautaires disponibles</w:t>
            </w:r>
          </w:p>
        </w:tc>
      </w:tr>
      <w:tr w:rsidR="00C40889" w:rsidRPr="00880085" w14:paraId="57DE82CA" w14:textId="77777777" w:rsidTr="005E526B">
        <w:trPr>
          <w:trHeight w:val="270"/>
          <w:jc w:val="center"/>
        </w:trPr>
        <w:tc>
          <w:tcPr>
            <w:tcW w:w="649" w:type="dxa"/>
            <w:vMerge/>
          </w:tcPr>
          <w:p w14:paraId="077DA9C3" w14:textId="77777777" w:rsidR="00C40889" w:rsidRPr="00BD3D80" w:rsidRDefault="00C40889" w:rsidP="005E526B">
            <w:pPr>
              <w:rPr>
                <w:lang w:val="fr-FR"/>
              </w:rPr>
            </w:pPr>
          </w:p>
        </w:tc>
        <w:tc>
          <w:tcPr>
            <w:tcW w:w="4733" w:type="dxa"/>
          </w:tcPr>
          <w:p w14:paraId="7AE66039" w14:textId="7DE42309" w:rsidR="00C40889" w:rsidRPr="00BD3D80" w:rsidRDefault="00C40889" w:rsidP="00227D29">
            <w:pPr>
              <w:pStyle w:val="Default"/>
              <w:rPr>
                <w:rFonts w:asciiTheme="minorHAnsi" w:hAnsiTheme="minorHAnsi" w:cstheme="minorBidi"/>
                <w:color w:val="auto"/>
                <w:sz w:val="20"/>
                <w:szCs w:val="20"/>
                <w:lang w:val="fr-FR"/>
              </w:rPr>
            </w:pPr>
            <w:r>
              <w:rPr>
                <w:rFonts w:asciiTheme="minorHAnsi" w:hAnsiTheme="minorHAnsi"/>
                <w:color w:val="auto"/>
                <w:sz w:val="20"/>
                <w:szCs w:val="20"/>
                <w:lang w:val="fr-FR"/>
              </w:rPr>
              <w:t xml:space="preserve">3.3.4 Les Alliances de la société civile placent les membres des OSC au premier plan, leur permettant de contribuer activement aux plateformes de coordination et de prise de décision multisectorielles et </w:t>
            </w:r>
            <w:proofErr w:type="spellStart"/>
            <w:r>
              <w:rPr>
                <w:rFonts w:asciiTheme="minorHAnsi" w:hAnsiTheme="minorHAnsi"/>
                <w:color w:val="auto"/>
                <w:sz w:val="20"/>
                <w:szCs w:val="20"/>
                <w:lang w:val="fr-FR"/>
              </w:rPr>
              <w:t>multiacteurs</w:t>
            </w:r>
            <w:proofErr w:type="spellEnd"/>
            <w:r>
              <w:rPr>
                <w:rFonts w:asciiTheme="minorHAnsi" w:hAnsiTheme="minorHAnsi"/>
                <w:color w:val="auto"/>
                <w:sz w:val="20"/>
                <w:szCs w:val="20"/>
                <w:lang w:val="fr-FR"/>
              </w:rPr>
              <w:t xml:space="preserve"> au niveau national et infranational</w:t>
            </w:r>
            <w:r w:rsidR="00C26CAB">
              <w:rPr>
                <w:rFonts w:asciiTheme="minorHAnsi" w:hAnsiTheme="minorHAnsi"/>
                <w:color w:val="auto"/>
                <w:sz w:val="20"/>
                <w:szCs w:val="20"/>
                <w:lang w:val="fr-FR"/>
              </w:rPr>
              <w:t xml:space="preserve"> </w:t>
            </w:r>
            <w:r>
              <w:rPr>
                <w:color w:val="ED7D31" w:themeColor="accent2"/>
                <w:sz w:val="20"/>
                <w:szCs w:val="20"/>
                <w:lang w:val="fr-FR"/>
              </w:rPr>
              <w:t>(</w:t>
            </w:r>
            <w:r w:rsidR="00BB74DB">
              <w:rPr>
                <w:rFonts w:asciiTheme="minorHAnsi" w:hAnsiTheme="minorHAnsi"/>
                <w:color w:val="ED7D31" w:themeColor="accent2"/>
                <w:sz w:val="20"/>
                <w:szCs w:val="20"/>
                <w:lang w:val="fr-FR"/>
              </w:rPr>
              <w:t>fonds communs</w:t>
            </w:r>
            <w:r>
              <w:rPr>
                <w:rFonts w:asciiTheme="minorHAnsi" w:hAnsiTheme="minorHAnsi"/>
                <w:color w:val="ED7D31" w:themeColor="accent2"/>
                <w:sz w:val="20"/>
                <w:szCs w:val="20"/>
                <w:lang w:val="fr-FR"/>
              </w:rPr>
              <w:t xml:space="preserve"> Produit</w:t>
            </w:r>
            <w:r w:rsidR="002C54BD">
              <w:rPr>
                <w:rFonts w:asciiTheme="minorHAnsi" w:hAnsiTheme="minorHAnsi"/>
                <w:color w:val="ED7D31" w:themeColor="accent2"/>
                <w:sz w:val="20"/>
                <w:szCs w:val="20"/>
                <w:lang w:val="fr-FR"/>
              </w:rPr>
              <w:t> </w:t>
            </w:r>
            <w:r>
              <w:rPr>
                <w:rFonts w:asciiTheme="minorHAnsi" w:hAnsiTheme="minorHAnsi"/>
                <w:color w:val="ED7D31" w:themeColor="accent2"/>
                <w:sz w:val="20"/>
                <w:szCs w:val="20"/>
                <w:lang w:val="fr-FR"/>
              </w:rPr>
              <w:t>3.1))</w:t>
            </w:r>
          </w:p>
        </w:tc>
        <w:tc>
          <w:tcPr>
            <w:tcW w:w="4817" w:type="dxa"/>
          </w:tcPr>
          <w:p w14:paraId="0C230019" w14:textId="48BF799F" w:rsidR="00C40889" w:rsidRPr="00BD3D80" w:rsidRDefault="00C40889" w:rsidP="00C24802">
            <w:pPr>
              <w:pStyle w:val="Default"/>
              <w:numPr>
                <w:ilvl w:val="0"/>
                <w:numId w:val="13"/>
              </w:numPr>
              <w:ind w:left="465"/>
              <w:jc w:val="both"/>
              <w:rPr>
                <w:rFonts w:asciiTheme="minorHAnsi" w:hAnsiTheme="minorHAnsi" w:cstheme="minorBidi"/>
                <w:color w:val="auto"/>
                <w:sz w:val="20"/>
                <w:szCs w:val="20"/>
                <w:lang w:val="fr-FR"/>
              </w:rPr>
            </w:pPr>
            <w:r>
              <w:rPr>
                <w:rFonts w:asciiTheme="minorHAnsi" w:hAnsiTheme="minorHAnsi"/>
                <w:color w:val="auto"/>
                <w:sz w:val="20"/>
                <w:szCs w:val="20"/>
                <w:lang w:val="fr-FR"/>
              </w:rPr>
              <w:t xml:space="preserve">Nombre de plateformes nationales ou infranationales qui mettent en avant les contributions des ASC </w:t>
            </w:r>
            <w:r>
              <w:rPr>
                <w:color w:val="ED7D31" w:themeColor="accent2"/>
                <w:sz w:val="20"/>
                <w:szCs w:val="20"/>
                <w:lang w:val="fr-FR"/>
              </w:rPr>
              <w:t>(</w:t>
            </w:r>
            <w:r w:rsidR="00BB74DB">
              <w:rPr>
                <w:rFonts w:asciiTheme="minorHAnsi" w:hAnsiTheme="minorHAnsi"/>
                <w:color w:val="ED7D31" w:themeColor="accent2"/>
                <w:sz w:val="20"/>
                <w:szCs w:val="20"/>
                <w:lang w:val="fr-FR"/>
              </w:rPr>
              <w:t>fonds communs</w:t>
            </w:r>
            <w:r>
              <w:rPr>
                <w:rFonts w:asciiTheme="minorHAnsi" w:hAnsiTheme="minorHAnsi"/>
                <w:color w:val="ED7D31" w:themeColor="accent2"/>
                <w:sz w:val="20"/>
                <w:szCs w:val="20"/>
                <w:lang w:val="fr-FR"/>
              </w:rPr>
              <w:t>)</w:t>
            </w:r>
          </w:p>
          <w:p w14:paraId="15C357B9" w14:textId="1D53F605" w:rsidR="00C40889" w:rsidRPr="004F30B2" w:rsidRDefault="006F720A" w:rsidP="00C40889">
            <w:pPr>
              <w:pStyle w:val="Default"/>
              <w:numPr>
                <w:ilvl w:val="0"/>
                <w:numId w:val="13"/>
              </w:numPr>
              <w:ind w:left="465"/>
              <w:jc w:val="both"/>
              <w:rPr>
                <w:rFonts w:asciiTheme="minorHAnsi" w:hAnsiTheme="minorHAnsi"/>
                <w:color w:val="auto"/>
                <w:sz w:val="20"/>
                <w:szCs w:val="20"/>
                <w:lang w:val="fr-FR"/>
              </w:rPr>
            </w:pPr>
            <w:r>
              <w:rPr>
                <w:rFonts w:asciiTheme="minorHAnsi" w:hAnsiTheme="minorHAnsi"/>
                <w:color w:val="auto"/>
                <w:sz w:val="20"/>
                <w:szCs w:val="20"/>
                <w:lang w:val="fr-FR"/>
              </w:rPr>
              <w:t xml:space="preserve">Qualité </w:t>
            </w:r>
            <w:r w:rsidR="00C40889">
              <w:rPr>
                <w:rFonts w:asciiTheme="minorHAnsi" w:hAnsiTheme="minorHAnsi"/>
                <w:color w:val="auto"/>
                <w:sz w:val="20"/>
                <w:szCs w:val="20"/>
                <w:lang w:val="fr-FR"/>
              </w:rPr>
              <w:t>de</w:t>
            </w:r>
            <w:r>
              <w:rPr>
                <w:rFonts w:asciiTheme="minorHAnsi" w:hAnsiTheme="minorHAnsi"/>
                <w:color w:val="auto"/>
                <w:sz w:val="20"/>
                <w:szCs w:val="20"/>
                <w:lang w:val="fr-FR"/>
              </w:rPr>
              <w:t>s</w:t>
            </w:r>
            <w:r w:rsidR="00C40889">
              <w:rPr>
                <w:rFonts w:asciiTheme="minorHAnsi" w:hAnsiTheme="minorHAnsi"/>
                <w:color w:val="auto"/>
                <w:sz w:val="20"/>
                <w:szCs w:val="20"/>
                <w:lang w:val="fr-FR"/>
              </w:rPr>
              <w:t xml:space="preserve"> plateformes nationales ou infranationales qui mettent en avant les contributions des ASC (</w:t>
            </w:r>
            <w:r w:rsidR="00BB74DB">
              <w:rPr>
                <w:rFonts w:asciiTheme="minorHAnsi" w:hAnsiTheme="minorHAnsi"/>
                <w:color w:val="auto"/>
                <w:sz w:val="20"/>
                <w:szCs w:val="20"/>
                <w:lang w:val="fr-FR"/>
              </w:rPr>
              <w:t>fonds communs</w:t>
            </w:r>
            <w:r w:rsidR="00C40889">
              <w:rPr>
                <w:rFonts w:asciiTheme="minorHAnsi" w:hAnsiTheme="minorHAnsi"/>
                <w:color w:val="auto"/>
                <w:sz w:val="20"/>
                <w:szCs w:val="20"/>
                <w:lang w:val="fr-FR"/>
              </w:rPr>
              <w:t xml:space="preserve">). </w:t>
            </w:r>
            <w:r w:rsidR="00C40889" w:rsidRPr="004F30B2">
              <w:rPr>
                <w:rFonts w:asciiTheme="minorHAnsi" w:hAnsiTheme="minorHAnsi"/>
                <w:color w:val="auto"/>
                <w:sz w:val="20"/>
                <w:szCs w:val="20"/>
                <w:lang w:val="fr-FR"/>
              </w:rPr>
              <w:t>(</w:t>
            </w:r>
            <w:r>
              <w:rPr>
                <w:rFonts w:asciiTheme="minorHAnsi" w:hAnsiTheme="minorHAnsi"/>
                <w:color w:val="auto"/>
                <w:sz w:val="20"/>
                <w:szCs w:val="20"/>
                <w:lang w:val="fr-FR"/>
              </w:rPr>
              <w:t>note</w:t>
            </w:r>
            <w:r w:rsidRPr="004F30B2">
              <w:rPr>
                <w:rFonts w:asciiTheme="minorHAnsi" w:hAnsiTheme="minorHAnsi"/>
                <w:color w:val="auto"/>
                <w:sz w:val="20"/>
                <w:szCs w:val="20"/>
                <w:lang w:val="fr-FR"/>
              </w:rPr>
              <w:t xml:space="preserve"> </w:t>
            </w:r>
            <w:r w:rsidR="00C40889" w:rsidRPr="004F30B2">
              <w:rPr>
                <w:rFonts w:asciiTheme="minorHAnsi" w:hAnsiTheme="minorHAnsi"/>
                <w:color w:val="auto"/>
                <w:sz w:val="20"/>
                <w:szCs w:val="20"/>
                <w:lang w:val="fr-FR"/>
              </w:rPr>
              <w:t xml:space="preserve">de fonctionnalité des plateformes </w:t>
            </w:r>
            <w:proofErr w:type="spellStart"/>
            <w:r w:rsidR="00C40889" w:rsidRPr="004F30B2">
              <w:rPr>
                <w:rFonts w:asciiTheme="minorHAnsi" w:hAnsiTheme="minorHAnsi"/>
                <w:color w:val="auto"/>
                <w:sz w:val="20"/>
                <w:szCs w:val="20"/>
                <w:lang w:val="fr-FR"/>
              </w:rPr>
              <w:t>multiacteurs</w:t>
            </w:r>
            <w:proofErr w:type="spellEnd"/>
            <w:r w:rsidR="00C40889" w:rsidRPr="004F30B2">
              <w:rPr>
                <w:rFonts w:asciiTheme="minorHAnsi" w:hAnsiTheme="minorHAnsi"/>
                <w:color w:val="auto"/>
                <w:sz w:val="20"/>
                <w:szCs w:val="20"/>
                <w:lang w:val="fr-FR"/>
              </w:rPr>
              <w:t>)</w:t>
            </w:r>
          </w:p>
          <w:p w14:paraId="48C99B52" w14:textId="195CB344" w:rsidR="00C40889" w:rsidRPr="00BD3D80" w:rsidRDefault="00C40889" w:rsidP="00C24802">
            <w:pPr>
              <w:pStyle w:val="Default"/>
              <w:numPr>
                <w:ilvl w:val="0"/>
                <w:numId w:val="13"/>
              </w:numPr>
              <w:ind w:left="465"/>
              <w:jc w:val="both"/>
              <w:rPr>
                <w:rFonts w:asciiTheme="minorHAnsi" w:hAnsiTheme="minorHAnsi" w:cstheme="minorBidi"/>
                <w:color w:val="auto"/>
                <w:sz w:val="20"/>
                <w:szCs w:val="20"/>
                <w:lang w:val="fr-FR"/>
              </w:rPr>
            </w:pPr>
            <w:r>
              <w:rPr>
                <w:rFonts w:asciiTheme="minorHAnsi" w:hAnsiTheme="minorHAnsi"/>
                <w:color w:val="auto"/>
                <w:sz w:val="20"/>
                <w:szCs w:val="20"/>
                <w:lang w:val="fr-FR"/>
              </w:rPr>
              <w:t xml:space="preserve">Nombre de campagnes de changement de comportement organisées dans les communautés marginalisées grâce au soutien aux OSC locales </w:t>
            </w:r>
            <w:r>
              <w:rPr>
                <w:rFonts w:asciiTheme="minorHAnsi" w:hAnsiTheme="minorHAnsi"/>
                <w:color w:val="ED7D31" w:themeColor="accent2"/>
                <w:sz w:val="20"/>
                <w:szCs w:val="20"/>
                <w:lang w:val="fr-FR"/>
              </w:rPr>
              <w:t>(</w:t>
            </w:r>
            <w:r w:rsidR="00BB74DB">
              <w:rPr>
                <w:rFonts w:asciiTheme="minorHAnsi" w:hAnsiTheme="minorHAnsi"/>
                <w:color w:val="ED7D31" w:themeColor="accent2"/>
                <w:sz w:val="20"/>
                <w:szCs w:val="20"/>
                <w:lang w:val="fr-FR"/>
              </w:rPr>
              <w:t>fonds communs</w:t>
            </w:r>
            <w:r>
              <w:rPr>
                <w:rFonts w:asciiTheme="minorHAnsi" w:hAnsiTheme="minorHAnsi"/>
                <w:color w:val="ED7D31" w:themeColor="accent2"/>
                <w:sz w:val="20"/>
                <w:szCs w:val="20"/>
                <w:lang w:val="fr-FR"/>
              </w:rPr>
              <w:t>)</w:t>
            </w:r>
          </w:p>
          <w:p w14:paraId="1BD35C83" w14:textId="40120B09" w:rsidR="00C40889" w:rsidRPr="00BD3D80" w:rsidRDefault="00C40889" w:rsidP="00C40889">
            <w:pPr>
              <w:pStyle w:val="Default"/>
              <w:numPr>
                <w:ilvl w:val="0"/>
                <w:numId w:val="13"/>
              </w:numPr>
              <w:rPr>
                <w:rFonts w:asciiTheme="minorHAnsi" w:hAnsiTheme="minorHAnsi" w:cstheme="minorBidi"/>
                <w:color w:val="auto"/>
                <w:sz w:val="20"/>
                <w:szCs w:val="20"/>
                <w:lang w:val="fr-FR"/>
              </w:rPr>
            </w:pPr>
            <w:r>
              <w:rPr>
                <w:rFonts w:asciiTheme="minorHAnsi" w:hAnsiTheme="minorHAnsi"/>
                <w:color w:val="auto"/>
                <w:sz w:val="20"/>
                <w:szCs w:val="20"/>
                <w:lang w:val="fr-FR"/>
              </w:rPr>
              <w:t xml:space="preserve">Nombre de personnes touchées par les campagnes de changement de comportement (ventilées par sexe) </w:t>
            </w:r>
            <w:r>
              <w:rPr>
                <w:rFonts w:asciiTheme="minorHAnsi" w:hAnsiTheme="minorHAnsi"/>
                <w:color w:val="ED7D31" w:themeColor="accent2"/>
                <w:sz w:val="20"/>
                <w:szCs w:val="20"/>
                <w:lang w:val="fr-FR"/>
              </w:rPr>
              <w:t>(</w:t>
            </w:r>
            <w:r w:rsidR="00BB74DB">
              <w:rPr>
                <w:rFonts w:asciiTheme="minorHAnsi" w:hAnsiTheme="minorHAnsi"/>
                <w:color w:val="ED7D31" w:themeColor="accent2"/>
                <w:sz w:val="20"/>
                <w:szCs w:val="20"/>
                <w:lang w:val="fr-FR"/>
              </w:rPr>
              <w:t>fonds communs</w:t>
            </w:r>
            <w:r>
              <w:rPr>
                <w:rFonts w:asciiTheme="minorHAnsi" w:hAnsiTheme="minorHAnsi"/>
                <w:color w:val="ED7D31" w:themeColor="accent2"/>
                <w:sz w:val="20"/>
                <w:szCs w:val="20"/>
                <w:lang w:val="fr-FR"/>
              </w:rPr>
              <w:t>)</w:t>
            </w:r>
          </w:p>
          <w:p w14:paraId="196B59A3" w14:textId="486FB93F" w:rsidR="00C40889" w:rsidRPr="00BD3D80" w:rsidRDefault="00C40889" w:rsidP="00C40889">
            <w:pPr>
              <w:pStyle w:val="Default"/>
              <w:numPr>
                <w:ilvl w:val="0"/>
                <w:numId w:val="13"/>
              </w:numPr>
              <w:rPr>
                <w:rFonts w:asciiTheme="minorHAnsi" w:hAnsiTheme="minorHAnsi" w:cstheme="minorBidi"/>
                <w:color w:val="auto"/>
                <w:sz w:val="20"/>
                <w:szCs w:val="20"/>
                <w:lang w:val="fr-FR"/>
              </w:rPr>
            </w:pPr>
            <w:r>
              <w:rPr>
                <w:rFonts w:asciiTheme="minorHAnsi" w:hAnsiTheme="minorHAnsi"/>
                <w:color w:val="auto"/>
                <w:sz w:val="20"/>
                <w:szCs w:val="20"/>
                <w:lang w:val="fr-FR"/>
              </w:rPr>
              <w:t>Nombre de personnes issues de communautés marginalisées qui ont participé à des campagnes ou à des événements visant à modifier les comportements afin d</w:t>
            </w:r>
            <w:r w:rsidR="002C54BD">
              <w:rPr>
                <w:rFonts w:asciiTheme="minorHAnsi" w:hAnsiTheme="minorHAnsi"/>
                <w:color w:val="auto"/>
                <w:sz w:val="20"/>
                <w:szCs w:val="20"/>
                <w:lang w:val="fr-FR"/>
              </w:rPr>
              <w:t>’</w:t>
            </w:r>
            <w:r>
              <w:rPr>
                <w:rFonts w:asciiTheme="minorHAnsi" w:hAnsiTheme="minorHAnsi"/>
                <w:color w:val="auto"/>
                <w:sz w:val="20"/>
                <w:szCs w:val="20"/>
                <w:lang w:val="fr-FR"/>
              </w:rPr>
              <w:t xml:space="preserve">influencer la prise de décision et la coordination (ventilées par sexe) </w:t>
            </w:r>
            <w:r>
              <w:rPr>
                <w:rFonts w:asciiTheme="minorHAnsi" w:hAnsiTheme="minorHAnsi"/>
                <w:color w:val="ED7D31" w:themeColor="accent2"/>
                <w:sz w:val="20"/>
                <w:szCs w:val="20"/>
                <w:lang w:val="fr-FR"/>
              </w:rPr>
              <w:t>(</w:t>
            </w:r>
            <w:r w:rsidR="00BB74DB">
              <w:rPr>
                <w:rFonts w:asciiTheme="minorHAnsi" w:hAnsiTheme="minorHAnsi"/>
                <w:color w:val="ED7D31" w:themeColor="accent2"/>
                <w:sz w:val="20"/>
                <w:szCs w:val="20"/>
                <w:lang w:val="fr-FR"/>
              </w:rPr>
              <w:t>fonds communs</w:t>
            </w:r>
            <w:r>
              <w:rPr>
                <w:rFonts w:asciiTheme="minorHAnsi" w:hAnsiTheme="minorHAnsi"/>
                <w:color w:val="ED7D31" w:themeColor="accent2"/>
                <w:sz w:val="20"/>
                <w:szCs w:val="20"/>
                <w:lang w:val="fr-FR"/>
              </w:rPr>
              <w:t>)</w:t>
            </w:r>
          </w:p>
          <w:p w14:paraId="7306685C" w14:textId="77111125" w:rsidR="00C40889" w:rsidRPr="00BD3D80" w:rsidRDefault="00C40889" w:rsidP="00227D29">
            <w:pPr>
              <w:pStyle w:val="Default"/>
              <w:rPr>
                <w:rFonts w:asciiTheme="minorHAnsi" w:hAnsiTheme="minorHAnsi" w:cstheme="minorBidi"/>
                <w:color w:val="auto"/>
                <w:sz w:val="20"/>
                <w:szCs w:val="20"/>
                <w:lang w:val="fr-FR"/>
              </w:rPr>
            </w:pPr>
          </w:p>
        </w:tc>
      </w:tr>
      <w:tr w:rsidR="00E07158" w:rsidRPr="00880085" w14:paraId="5EE9B9C4" w14:textId="77777777" w:rsidTr="005E526B">
        <w:trPr>
          <w:trHeight w:val="270"/>
          <w:jc w:val="center"/>
        </w:trPr>
        <w:tc>
          <w:tcPr>
            <w:tcW w:w="649" w:type="dxa"/>
            <w:vMerge w:val="restart"/>
            <w:textDirection w:val="btLr"/>
          </w:tcPr>
          <w:p w14:paraId="6DE2B780" w14:textId="7439BB6D" w:rsidR="00E07158" w:rsidRDefault="00E07158" w:rsidP="005E526B">
            <w:pPr>
              <w:ind w:left="113" w:right="113"/>
            </w:pPr>
            <w:r>
              <w:rPr>
                <w:lang w:val="fr-FR"/>
              </w:rPr>
              <w:t>Résultat intermédiaire</w:t>
            </w:r>
            <w:r w:rsidR="002C54BD">
              <w:rPr>
                <w:lang w:val="fr-FR"/>
              </w:rPr>
              <w:t> </w:t>
            </w:r>
            <w:r>
              <w:rPr>
                <w:lang w:val="fr-FR"/>
              </w:rPr>
              <w:t>3.4</w:t>
            </w:r>
          </w:p>
        </w:tc>
        <w:tc>
          <w:tcPr>
            <w:tcW w:w="4733" w:type="dxa"/>
          </w:tcPr>
          <w:p w14:paraId="2DA69F37" w14:textId="5B53B9FE" w:rsidR="00E07158" w:rsidRPr="00BD3D80" w:rsidRDefault="00665105" w:rsidP="005E526B">
            <w:pPr>
              <w:rPr>
                <w:lang w:val="fr-FR"/>
              </w:rPr>
            </w:pPr>
            <w:r>
              <w:rPr>
                <w:rFonts w:eastAsia="Times New Roman" w:cstheme="majorHAnsi"/>
                <w:sz w:val="20"/>
                <w:szCs w:val="20"/>
                <w:lang w:val="fr-FR"/>
              </w:rPr>
              <w:t xml:space="preserve">3.4.1 </w:t>
            </w:r>
            <w:r w:rsidR="00317BFC">
              <w:rPr>
                <w:rFonts w:eastAsia="Times New Roman" w:cstheme="majorHAnsi"/>
                <w:sz w:val="20"/>
                <w:szCs w:val="20"/>
                <w:lang w:val="fr-FR"/>
              </w:rPr>
              <w:t xml:space="preserve">Sensibiliser davantage le public aux codes et à la législation via les médias et la communication relative aux changements comportementaux </w:t>
            </w:r>
          </w:p>
        </w:tc>
        <w:tc>
          <w:tcPr>
            <w:tcW w:w="4817" w:type="dxa"/>
          </w:tcPr>
          <w:p w14:paraId="0BC6A662" w14:textId="17098871" w:rsidR="00E07158" w:rsidRPr="00BD3D80" w:rsidRDefault="00E07158" w:rsidP="00997566">
            <w:pPr>
              <w:pStyle w:val="ListParagraph"/>
              <w:numPr>
                <w:ilvl w:val="0"/>
                <w:numId w:val="13"/>
              </w:numPr>
              <w:ind w:left="465" w:hanging="425"/>
              <w:rPr>
                <w:rFonts w:eastAsia="Times New Roman" w:cstheme="majorHAnsi"/>
                <w:sz w:val="20"/>
                <w:szCs w:val="20"/>
                <w:lang w:val="fr-FR"/>
              </w:rPr>
            </w:pPr>
            <w:r>
              <w:rPr>
                <w:rFonts w:eastAsia="Times New Roman" w:cstheme="majorHAnsi"/>
                <w:sz w:val="20"/>
                <w:szCs w:val="20"/>
                <w:lang w:val="fr-FR"/>
              </w:rPr>
              <w:t>Nombre de personnes touchées grâce à une campagne de sensibilisation (ventilées par sexe si possible, et niveau national et infranational)</w:t>
            </w:r>
          </w:p>
        </w:tc>
      </w:tr>
      <w:tr w:rsidR="00E07158" w:rsidRPr="00880085" w14:paraId="30BE82D5" w14:textId="77777777" w:rsidTr="005E526B">
        <w:trPr>
          <w:trHeight w:val="270"/>
          <w:jc w:val="center"/>
        </w:trPr>
        <w:tc>
          <w:tcPr>
            <w:tcW w:w="649" w:type="dxa"/>
            <w:vMerge/>
          </w:tcPr>
          <w:p w14:paraId="47888EEF" w14:textId="77777777" w:rsidR="00E07158" w:rsidRPr="00BD3D80" w:rsidRDefault="00E07158" w:rsidP="005E526B">
            <w:pPr>
              <w:rPr>
                <w:lang w:val="fr-FR"/>
              </w:rPr>
            </w:pPr>
          </w:p>
        </w:tc>
        <w:tc>
          <w:tcPr>
            <w:tcW w:w="4733" w:type="dxa"/>
          </w:tcPr>
          <w:p w14:paraId="5CE054E4" w14:textId="3982A652" w:rsidR="00E07158" w:rsidRPr="00BD3D80" w:rsidRDefault="00317BFC" w:rsidP="005E526B">
            <w:pPr>
              <w:rPr>
                <w:lang w:val="fr-FR"/>
              </w:rPr>
            </w:pPr>
            <w:r>
              <w:rPr>
                <w:rFonts w:eastAsia="Times New Roman" w:cstheme="majorHAnsi"/>
                <w:sz w:val="20"/>
                <w:szCs w:val="20"/>
                <w:lang w:val="fr-FR"/>
              </w:rPr>
              <w:t>3.4.2 Personnes formées sur les «</w:t>
            </w:r>
            <w:r w:rsidR="002C54BD">
              <w:rPr>
                <w:rFonts w:eastAsia="Times New Roman" w:cstheme="majorHAnsi"/>
                <w:sz w:val="20"/>
                <w:szCs w:val="20"/>
                <w:lang w:val="fr-FR"/>
              </w:rPr>
              <w:t> </w:t>
            </w:r>
            <w:r>
              <w:rPr>
                <w:rFonts w:eastAsia="Times New Roman" w:cstheme="majorHAnsi"/>
                <w:sz w:val="20"/>
                <w:szCs w:val="20"/>
                <w:lang w:val="fr-FR"/>
              </w:rPr>
              <w:t>mauvaises pratiques</w:t>
            </w:r>
            <w:r w:rsidR="002C54BD">
              <w:rPr>
                <w:rFonts w:eastAsia="Times New Roman" w:cstheme="majorHAnsi"/>
                <w:sz w:val="20"/>
                <w:szCs w:val="20"/>
                <w:lang w:val="fr-FR"/>
              </w:rPr>
              <w:t> </w:t>
            </w:r>
            <w:r>
              <w:rPr>
                <w:rFonts w:eastAsia="Times New Roman" w:cstheme="majorHAnsi"/>
                <w:sz w:val="20"/>
                <w:szCs w:val="20"/>
                <w:lang w:val="fr-FR"/>
              </w:rPr>
              <w:t>» du secteur privé et les conflits d</w:t>
            </w:r>
            <w:r w:rsidR="002C54BD">
              <w:rPr>
                <w:rFonts w:eastAsia="Times New Roman" w:cstheme="majorHAnsi"/>
                <w:sz w:val="20"/>
                <w:szCs w:val="20"/>
                <w:lang w:val="fr-FR"/>
              </w:rPr>
              <w:t>’</w:t>
            </w:r>
            <w:r>
              <w:rPr>
                <w:rFonts w:eastAsia="Times New Roman" w:cstheme="majorHAnsi"/>
                <w:sz w:val="20"/>
                <w:szCs w:val="20"/>
                <w:lang w:val="fr-FR"/>
              </w:rPr>
              <w:t xml:space="preserve">intérêts </w:t>
            </w:r>
          </w:p>
        </w:tc>
        <w:tc>
          <w:tcPr>
            <w:tcW w:w="4817" w:type="dxa"/>
          </w:tcPr>
          <w:p w14:paraId="2525A883" w14:textId="77777777" w:rsidR="00E07158" w:rsidRPr="00BD3D80" w:rsidRDefault="00E07158" w:rsidP="00997566">
            <w:pPr>
              <w:pStyle w:val="ListParagraph"/>
              <w:numPr>
                <w:ilvl w:val="0"/>
                <w:numId w:val="13"/>
              </w:numPr>
              <w:ind w:left="465" w:hanging="425"/>
              <w:rPr>
                <w:lang w:val="fr-FR"/>
              </w:rPr>
            </w:pPr>
            <w:r>
              <w:rPr>
                <w:rFonts w:eastAsia="Times New Roman" w:cstheme="majorHAnsi"/>
                <w:sz w:val="20"/>
                <w:szCs w:val="20"/>
                <w:lang w:val="fr-FR"/>
              </w:rPr>
              <w:t>Nombre de personnes formées (ventilées par sexe et niveau national/infranational)</w:t>
            </w:r>
          </w:p>
        </w:tc>
      </w:tr>
      <w:tr w:rsidR="00E07158" w:rsidRPr="00880085" w14:paraId="65D25297" w14:textId="77777777" w:rsidTr="005E526B">
        <w:trPr>
          <w:trHeight w:val="270"/>
          <w:jc w:val="center"/>
        </w:trPr>
        <w:tc>
          <w:tcPr>
            <w:tcW w:w="649" w:type="dxa"/>
            <w:vMerge/>
          </w:tcPr>
          <w:p w14:paraId="17ADE5AC" w14:textId="77777777" w:rsidR="00E07158" w:rsidRPr="00BD3D80" w:rsidRDefault="00E07158" w:rsidP="005E526B">
            <w:pPr>
              <w:rPr>
                <w:lang w:val="fr-FR"/>
              </w:rPr>
            </w:pPr>
          </w:p>
        </w:tc>
        <w:tc>
          <w:tcPr>
            <w:tcW w:w="4733" w:type="dxa"/>
          </w:tcPr>
          <w:p w14:paraId="0550A51F" w14:textId="3A1D4A5C" w:rsidR="00E07158" w:rsidRPr="00BD3D80" w:rsidRDefault="00317BFC" w:rsidP="005E526B">
            <w:pPr>
              <w:rPr>
                <w:lang w:val="fr-FR"/>
              </w:rPr>
            </w:pPr>
            <w:r>
              <w:rPr>
                <w:rFonts w:eastAsia="Times New Roman" w:cstheme="majorHAnsi"/>
                <w:sz w:val="20"/>
                <w:szCs w:val="20"/>
                <w:lang w:val="fr-FR"/>
              </w:rPr>
              <w:t xml:space="preserve">3.4.3 </w:t>
            </w:r>
            <w:r w:rsidR="00665105">
              <w:rPr>
                <w:rFonts w:eastAsia="Times New Roman" w:cstheme="majorHAnsi"/>
                <w:sz w:val="20"/>
                <w:szCs w:val="20"/>
                <w:lang w:val="fr-FR"/>
              </w:rPr>
              <w:t>Recueil des v</w:t>
            </w:r>
            <w:r>
              <w:rPr>
                <w:rFonts w:eastAsia="Times New Roman" w:cstheme="majorHAnsi"/>
                <w:sz w:val="20"/>
                <w:szCs w:val="20"/>
                <w:lang w:val="fr-FR"/>
              </w:rPr>
              <w:t xml:space="preserve">iolations des codes et de la législation </w:t>
            </w:r>
          </w:p>
        </w:tc>
        <w:tc>
          <w:tcPr>
            <w:tcW w:w="4817" w:type="dxa"/>
          </w:tcPr>
          <w:p w14:paraId="01DB3B21" w14:textId="77777777" w:rsidR="00E07158" w:rsidRPr="00997566" w:rsidRDefault="00E07158" w:rsidP="00997566">
            <w:pPr>
              <w:pStyle w:val="ListParagraph"/>
              <w:numPr>
                <w:ilvl w:val="0"/>
                <w:numId w:val="13"/>
              </w:numPr>
              <w:ind w:left="465" w:hanging="425"/>
              <w:rPr>
                <w:rFonts w:eastAsia="Times New Roman" w:cstheme="majorHAnsi"/>
                <w:sz w:val="20"/>
                <w:szCs w:val="20"/>
              </w:rPr>
            </w:pPr>
            <w:r>
              <w:rPr>
                <w:rFonts w:eastAsia="Times New Roman" w:cstheme="majorHAnsi"/>
                <w:sz w:val="20"/>
                <w:szCs w:val="20"/>
                <w:lang w:val="fr-FR"/>
              </w:rPr>
              <w:t>Nombre de violations recueillies</w:t>
            </w:r>
          </w:p>
          <w:p w14:paraId="5278228D" w14:textId="53E97E3B" w:rsidR="00E07158" w:rsidRPr="00BD3D80" w:rsidRDefault="00E07158" w:rsidP="00997566">
            <w:pPr>
              <w:pStyle w:val="ListParagraph"/>
              <w:numPr>
                <w:ilvl w:val="0"/>
                <w:numId w:val="13"/>
              </w:numPr>
              <w:ind w:left="465" w:hanging="425"/>
              <w:rPr>
                <w:lang w:val="fr-FR"/>
              </w:rPr>
            </w:pPr>
            <w:r>
              <w:rPr>
                <w:rFonts w:eastAsia="Times New Roman" w:cstheme="majorHAnsi"/>
                <w:sz w:val="20"/>
                <w:szCs w:val="20"/>
                <w:lang w:val="fr-FR"/>
              </w:rPr>
              <w:t>Nombre d</w:t>
            </w:r>
            <w:r w:rsidR="002C54BD">
              <w:rPr>
                <w:rFonts w:eastAsia="Times New Roman" w:cstheme="majorHAnsi"/>
                <w:sz w:val="20"/>
                <w:szCs w:val="20"/>
                <w:lang w:val="fr-FR"/>
              </w:rPr>
              <w:t>’</w:t>
            </w:r>
            <w:r>
              <w:rPr>
                <w:rFonts w:eastAsia="Times New Roman" w:cstheme="majorHAnsi"/>
                <w:sz w:val="20"/>
                <w:szCs w:val="20"/>
                <w:lang w:val="fr-FR"/>
              </w:rPr>
              <w:t>études de cas produites</w:t>
            </w:r>
          </w:p>
        </w:tc>
      </w:tr>
      <w:tr w:rsidR="00E07158" w:rsidRPr="00880085" w14:paraId="250D9BD6" w14:textId="77777777" w:rsidTr="005E526B">
        <w:trPr>
          <w:trHeight w:val="270"/>
          <w:jc w:val="center"/>
        </w:trPr>
        <w:tc>
          <w:tcPr>
            <w:tcW w:w="649" w:type="dxa"/>
            <w:vMerge/>
          </w:tcPr>
          <w:p w14:paraId="50B753C1" w14:textId="77777777" w:rsidR="00E07158" w:rsidRPr="00BD3D80" w:rsidRDefault="00E07158" w:rsidP="005E526B">
            <w:pPr>
              <w:rPr>
                <w:lang w:val="fr-FR"/>
              </w:rPr>
            </w:pPr>
          </w:p>
        </w:tc>
        <w:tc>
          <w:tcPr>
            <w:tcW w:w="4733" w:type="dxa"/>
          </w:tcPr>
          <w:p w14:paraId="2414F858" w14:textId="3911F0C3" w:rsidR="00E07158" w:rsidRPr="00BD3D80" w:rsidRDefault="00317BFC" w:rsidP="005E526B">
            <w:pPr>
              <w:rPr>
                <w:lang w:val="fr-FR"/>
              </w:rPr>
            </w:pPr>
            <w:r>
              <w:rPr>
                <w:rFonts w:eastAsia="Times New Roman" w:cstheme="majorHAnsi"/>
                <w:sz w:val="20"/>
                <w:szCs w:val="20"/>
                <w:lang w:val="fr-FR"/>
              </w:rPr>
              <w:t xml:space="preserve">3.4.4. Personnes </w:t>
            </w:r>
            <w:r w:rsidR="00665105">
              <w:rPr>
                <w:rFonts w:eastAsia="Times New Roman" w:cstheme="majorHAnsi"/>
                <w:sz w:val="20"/>
                <w:szCs w:val="20"/>
                <w:lang w:val="fr-FR"/>
              </w:rPr>
              <w:t>touchées</w:t>
            </w:r>
            <w:r>
              <w:rPr>
                <w:rFonts w:eastAsia="Times New Roman" w:cstheme="majorHAnsi"/>
                <w:sz w:val="20"/>
                <w:szCs w:val="20"/>
                <w:lang w:val="fr-FR"/>
              </w:rPr>
              <w:t xml:space="preserve"> par le biais de campagnes publiques pour forcer les entreprises à se conformer aux lignes directrices</w:t>
            </w:r>
          </w:p>
        </w:tc>
        <w:tc>
          <w:tcPr>
            <w:tcW w:w="4817" w:type="dxa"/>
          </w:tcPr>
          <w:p w14:paraId="53880AA7" w14:textId="77777777" w:rsidR="00E07158" w:rsidRPr="00BD3D80" w:rsidRDefault="00E07158" w:rsidP="00997566">
            <w:pPr>
              <w:pStyle w:val="ListParagraph"/>
              <w:numPr>
                <w:ilvl w:val="0"/>
                <w:numId w:val="13"/>
              </w:numPr>
              <w:ind w:left="465" w:hanging="425"/>
              <w:rPr>
                <w:lang w:val="fr-FR"/>
              </w:rPr>
            </w:pPr>
            <w:r>
              <w:rPr>
                <w:rFonts w:eastAsia="Times New Roman" w:cstheme="majorHAnsi"/>
                <w:sz w:val="20"/>
                <w:szCs w:val="20"/>
                <w:lang w:val="fr-FR"/>
              </w:rPr>
              <w:t>Nombre de personnes touchées (ventilées par sexe, niveau national/infranational et par type de médias)</w:t>
            </w:r>
          </w:p>
        </w:tc>
      </w:tr>
      <w:tr w:rsidR="00E07158" w:rsidRPr="00880085" w14:paraId="517A838D" w14:textId="77777777" w:rsidTr="005E526B">
        <w:trPr>
          <w:trHeight w:val="270"/>
          <w:jc w:val="center"/>
        </w:trPr>
        <w:tc>
          <w:tcPr>
            <w:tcW w:w="649" w:type="dxa"/>
          </w:tcPr>
          <w:p w14:paraId="16201B30" w14:textId="77777777" w:rsidR="00E07158" w:rsidRPr="00BD3D80" w:rsidRDefault="00E07158" w:rsidP="005E526B">
            <w:pPr>
              <w:rPr>
                <w:lang w:val="fr-FR"/>
              </w:rPr>
            </w:pPr>
          </w:p>
        </w:tc>
        <w:tc>
          <w:tcPr>
            <w:tcW w:w="4733" w:type="dxa"/>
          </w:tcPr>
          <w:p w14:paraId="68BFCDFC" w14:textId="77777777" w:rsidR="00E07158" w:rsidRPr="00BD3D80" w:rsidRDefault="00E07158" w:rsidP="005E526B">
            <w:pPr>
              <w:rPr>
                <w:lang w:val="fr-FR"/>
              </w:rPr>
            </w:pPr>
          </w:p>
        </w:tc>
        <w:tc>
          <w:tcPr>
            <w:tcW w:w="4817" w:type="dxa"/>
          </w:tcPr>
          <w:p w14:paraId="214E3CAD" w14:textId="77777777" w:rsidR="00E07158" w:rsidRPr="00BD3D80" w:rsidRDefault="00E07158" w:rsidP="005E526B">
            <w:pPr>
              <w:rPr>
                <w:lang w:val="fr-FR"/>
              </w:rPr>
            </w:pPr>
          </w:p>
        </w:tc>
      </w:tr>
    </w:tbl>
    <w:p w14:paraId="54CDF1B5" w14:textId="77777777" w:rsidR="00E07158" w:rsidRPr="00BD3D80" w:rsidRDefault="00E07158">
      <w:pPr>
        <w:rPr>
          <w:lang w:val="fr-FR"/>
        </w:rPr>
      </w:pPr>
    </w:p>
    <w:p w14:paraId="509EDD92" w14:textId="30C68CFB" w:rsidR="00B16D51" w:rsidRPr="00BD3D80" w:rsidRDefault="00B16D51" w:rsidP="00834C72">
      <w:pPr>
        <w:pStyle w:val="Heading2"/>
        <w:rPr>
          <w:b/>
          <w:sz w:val="36"/>
          <w:szCs w:val="36"/>
          <w:lang w:val="fr-FR"/>
        </w:rPr>
      </w:pPr>
      <w:r>
        <w:rPr>
          <w:lang w:val="fr-FR"/>
        </w:rPr>
        <w:br w:type="page"/>
      </w:r>
      <w:bookmarkStart w:id="19" w:name="_Toc37072350"/>
      <w:r>
        <w:rPr>
          <w:b/>
          <w:bCs/>
          <w:color w:val="FFC000" w:themeColor="accent4"/>
          <w:sz w:val="28"/>
          <w:szCs w:val="28"/>
          <w:lang w:val="fr-FR"/>
        </w:rPr>
        <w:lastRenderedPageBreak/>
        <w:t>Résultat</w:t>
      </w:r>
      <w:r w:rsidR="002C54BD">
        <w:rPr>
          <w:b/>
          <w:bCs/>
          <w:color w:val="FFC000" w:themeColor="accent4"/>
          <w:sz w:val="28"/>
          <w:szCs w:val="28"/>
          <w:lang w:val="fr-FR"/>
        </w:rPr>
        <w:t> </w:t>
      </w:r>
      <w:r>
        <w:rPr>
          <w:b/>
          <w:bCs/>
          <w:color w:val="FFC000" w:themeColor="accent4"/>
          <w:sz w:val="28"/>
          <w:szCs w:val="28"/>
          <w:lang w:val="fr-FR"/>
        </w:rPr>
        <w:t>4 – (</w:t>
      </w:r>
      <w:r w:rsidR="003B1E1C">
        <w:rPr>
          <w:b/>
          <w:bCs/>
          <w:color w:val="FFC000" w:themeColor="accent4"/>
          <w:sz w:val="28"/>
          <w:szCs w:val="28"/>
          <w:lang w:val="fr-FR"/>
        </w:rPr>
        <w:t>transversal</w:t>
      </w:r>
      <w:r>
        <w:rPr>
          <w:b/>
          <w:bCs/>
          <w:color w:val="FFC000" w:themeColor="accent4"/>
          <w:sz w:val="28"/>
          <w:szCs w:val="28"/>
          <w:lang w:val="fr-FR"/>
        </w:rPr>
        <w:t xml:space="preserve">) Une société civile forte contribuant aux interventions </w:t>
      </w:r>
      <w:proofErr w:type="spellStart"/>
      <w:r>
        <w:rPr>
          <w:b/>
          <w:bCs/>
          <w:color w:val="FFC000" w:themeColor="accent4"/>
          <w:sz w:val="28"/>
          <w:szCs w:val="28"/>
          <w:lang w:val="fr-FR"/>
        </w:rPr>
        <w:t>multi</w:t>
      </w:r>
      <w:r w:rsidR="008D00A6">
        <w:rPr>
          <w:b/>
          <w:bCs/>
          <w:color w:val="FFC000" w:themeColor="accent4"/>
          <w:sz w:val="28"/>
          <w:szCs w:val="28"/>
          <w:lang w:val="fr-FR"/>
        </w:rPr>
        <w:t>acteurs</w:t>
      </w:r>
      <w:proofErr w:type="spellEnd"/>
      <w:r>
        <w:rPr>
          <w:b/>
          <w:bCs/>
          <w:color w:val="FFC000" w:themeColor="accent4"/>
          <w:sz w:val="28"/>
          <w:szCs w:val="28"/>
          <w:lang w:val="fr-FR"/>
        </w:rPr>
        <w:t>.</w:t>
      </w:r>
      <w:bookmarkEnd w:id="19"/>
      <w:r>
        <w:rPr>
          <w:b/>
          <w:bCs/>
          <w:color w:val="FFC000" w:themeColor="accent4"/>
          <w:sz w:val="36"/>
          <w:szCs w:val="36"/>
          <w:lang w:val="fr-FR"/>
        </w:rPr>
        <w:t xml:space="preserve"> </w:t>
      </w:r>
    </w:p>
    <w:p w14:paraId="79A704ED" w14:textId="77777777" w:rsidR="002F1D5D" w:rsidRPr="00BD3D80" w:rsidRDefault="002F1D5D">
      <w:pPr>
        <w:rPr>
          <w:lang w:val="fr-FR"/>
        </w:rPr>
      </w:pPr>
    </w:p>
    <w:tbl>
      <w:tblPr>
        <w:tblStyle w:val="TableGrid"/>
        <w:tblW w:w="9918" w:type="dxa"/>
        <w:tblLook w:val="04A0" w:firstRow="1" w:lastRow="0" w:firstColumn="1" w:lastColumn="0" w:noHBand="0" w:noVBand="1"/>
      </w:tblPr>
      <w:tblGrid>
        <w:gridCol w:w="4957"/>
        <w:gridCol w:w="4961"/>
      </w:tblGrid>
      <w:tr w:rsidR="00CF72FE" w:rsidRPr="00880085" w14:paraId="05A9C7B5" w14:textId="77777777" w:rsidTr="005D6077">
        <w:tc>
          <w:tcPr>
            <w:tcW w:w="4957" w:type="dxa"/>
            <w:shd w:val="clear" w:color="auto" w:fill="EC9090"/>
          </w:tcPr>
          <w:p w14:paraId="1774DE9A" w14:textId="500D7630" w:rsidR="00CF72FE" w:rsidRPr="00317BFC" w:rsidRDefault="002B14B1" w:rsidP="00305E63">
            <w:pPr>
              <w:rPr>
                <w:rFonts w:eastAsia="Times New Roman" w:cstheme="majorHAnsi"/>
                <w:color w:val="000000"/>
                <w:sz w:val="20"/>
                <w:szCs w:val="20"/>
              </w:rPr>
            </w:pPr>
            <w:r>
              <w:rPr>
                <w:rFonts w:eastAsia="Times New Roman" w:cstheme="majorHAnsi"/>
                <w:b/>
                <w:bCs/>
                <w:color w:val="000000"/>
                <w:sz w:val="20"/>
                <w:szCs w:val="20"/>
                <w:lang w:val="fr-FR"/>
              </w:rPr>
              <w:t>Résultat</w:t>
            </w:r>
            <w:r w:rsidR="002C54BD">
              <w:rPr>
                <w:rFonts w:eastAsia="Times New Roman" w:cstheme="majorHAnsi"/>
                <w:b/>
                <w:bCs/>
                <w:color w:val="000000"/>
                <w:sz w:val="20"/>
                <w:szCs w:val="20"/>
                <w:lang w:val="fr-FR"/>
              </w:rPr>
              <w:t> </w:t>
            </w:r>
            <w:r>
              <w:rPr>
                <w:rFonts w:eastAsia="Times New Roman" w:cstheme="majorHAnsi"/>
                <w:b/>
                <w:bCs/>
                <w:color w:val="000000"/>
                <w:sz w:val="20"/>
                <w:szCs w:val="20"/>
                <w:lang w:val="fr-FR"/>
              </w:rPr>
              <w:t xml:space="preserve">4 – Questions </w:t>
            </w:r>
            <w:r w:rsidR="00644F77" w:rsidRPr="00325D8D">
              <w:rPr>
                <w:rFonts w:eastAsia="Times New Roman" w:cstheme="majorHAnsi"/>
                <w:b/>
                <w:bCs/>
                <w:color w:val="000000"/>
                <w:sz w:val="20"/>
                <w:szCs w:val="20"/>
                <w:lang w:val="fr-FR"/>
              </w:rPr>
              <w:t>t</w:t>
            </w:r>
            <w:r w:rsidR="00644F77">
              <w:rPr>
                <w:rFonts w:eastAsia="Times New Roman" w:cstheme="majorHAnsi"/>
                <w:b/>
                <w:bCs/>
                <w:color w:val="000000"/>
                <w:sz w:val="20"/>
                <w:szCs w:val="20"/>
                <w:lang w:val="fr-FR"/>
              </w:rPr>
              <w:t>ransversales</w:t>
            </w:r>
          </w:p>
          <w:p w14:paraId="798C8000" w14:textId="77777777" w:rsidR="00CF72FE" w:rsidRPr="00317BFC" w:rsidRDefault="00CF72FE">
            <w:pPr>
              <w:rPr>
                <w:sz w:val="20"/>
                <w:szCs w:val="20"/>
              </w:rPr>
            </w:pPr>
          </w:p>
        </w:tc>
        <w:tc>
          <w:tcPr>
            <w:tcW w:w="4961" w:type="dxa"/>
            <w:shd w:val="clear" w:color="auto" w:fill="EC9090"/>
          </w:tcPr>
          <w:p w14:paraId="1E1779D6" w14:textId="2738FDC8" w:rsidR="00CF72FE" w:rsidRPr="00BD3D80" w:rsidRDefault="00347DFD">
            <w:pPr>
              <w:rPr>
                <w:sz w:val="20"/>
                <w:szCs w:val="20"/>
                <w:lang w:val="fr-FR"/>
              </w:rPr>
            </w:pPr>
            <w:r>
              <w:rPr>
                <w:b/>
                <w:bCs/>
                <w:sz w:val="20"/>
                <w:szCs w:val="20"/>
                <w:lang w:val="fr-FR"/>
              </w:rPr>
              <w:t>Indicateurs suggérés (lorsque plusieurs choix sont possibles, veuillez n</w:t>
            </w:r>
            <w:r w:rsidR="002C54BD">
              <w:rPr>
                <w:b/>
                <w:bCs/>
                <w:sz w:val="20"/>
                <w:szCs w:val="20"/>
                <w:lang w:val="fr-FR"/>
              </w:rPr>
              <w:t>’</w:t>
            </w:r>
            <w:r>
              <w:rPr>
                <w:b/>
                <w:bCs/>
                <w:sz w:val="20"/>
                <w:szCs w:val="20"/>
                <w:lang w:val="fr-FR"/>
              </w:rPr>
              <w:t>en sélectionner qu</w:t>
            </w:r>
            <w:r w:rsidR="002C54BD">
              <w:rPr>
                <w:b/>
                <w:bCs/>
                <w:sz w:val="20"/>
                <w:szCs w:val="20"/>
                <w:lang w:val="fr-FR"/>
              </w:rPr>
              <w:t>’</w:t>
            </w:r>
            <w:r>
              <w:rPr>
                <w:b/>
                <w:bCs/>
                <w:sz w:val="20"/>
                <w:szCs w:val="20"/>
                <w:lang w:val="fr-FR"/>
              </w:rPr>
              <w:t>un seul)</w:t>
            </w:r>
          </w:p>
        </w:tc>
      </w:tr>
      <w:tr w:rsidR="00CF72FE" w:rsidRPr="00880085" w14:paraId="79CA0330" w14:textId="77777777" w:rsidTr="005D6077">
        <w:tc>
          <w:tcPr>
            <w:tcW w:w="4957" w:type="dxa"/>
            <w:vAlign w:val="center"/>
          </w:tcPr>
          <w:p w14:paraId="5D5F30BC" w14:textId="736DCAD2" w:rsidR="00CF72FE" w:rsidRPr="00BD3D80" w:rsidRDefault="00CC1ACD" w:rsidP="00FF497B">
            <w:pPr>
              <w:rPr>
                <w:rFonts w:eastAsia="Times New Roman" w:cstheme="majorHAnsi"/>
                <w:color w:val="000000"/>
                <w:sz w:val="20"/>
                <w:szCs w:val="20"/>
                <w:lang w:val="fr-FR"/>
              </w:rPr>
            </w:pPr>
            <w:r>
              <w:rPr>
                <w:rFonts w:eastAsia="Times New Roman" w:cstheme="majorHAnsi"/>
                <w:color w:val="000000"/>
                <w:sz w:val="20"/>
                <w:szCs w:val="20"/>
                <w:lang w:val="fr-FR"/>
              </w:rPr>
              <w:t xml:space="preserve">Le </w:t>
            </w:r>
            <w:r w:rsidR="00716DEB">
              <w:rPr>
                <w:rFonts w:eastAsia="Times New Roman" w:cstheme="majorHAnsi"/>
                <w:color w:val="000000"/>
                <w:sz w:val="20"/>
                <w:szCs w:val="20"/>
                <w:lang w:val="fr-FR"/>
              </w:rPr>
              <w:t xml:space="preserve">Réseau de la société civile </w:t>
            </w:r>
            <w:r>
              <w:rPr>
                <w:rFonts w:eastAsia="Times New Roman" w:cstheme="majorHAnsi"/>
                <w:color w:val="000000"/>
                <w:sz w:val="20"/>
                <w:szCs w:val="20"/>
                <w:lang w:val="fr-FR"/>
              </w:rPr>
              <w:t>SUN encourage la constitution et la bonne gestion d</w:t>
            </w:r>
            <w:r w:rsidR="002C54BD">
              <w:rPr>
                <w:rFonts w:eastAsia="Times New Roman" w:cstheme="majorHAnsi"/>
                <w:color w:val="000000"/>
                <w:sz w:val="20"/>
                <w:szCs w:val="20"/>
                <w:lang w:val="fr-FR"/>
              </w:rPr>
              <w:t>’</w:t>
            </w:r>
            <w:r>
              <w:rPr>
                <w:rFonts w:eastAsia="Times New Roman" w:cstheme="majorHAnsi"/>
                <w:color w:val="000000"/>
                <w:sz w:val="20"/>
                <w:szCs w:val="20"/>
                <w:lang w:val="fr-FR"/>
              </w:rPr>
              <w:t xml:space="preserve">alliances de la société civile nationales fortes, crédibles et influentes qui contribuent efficacement aux mesures </w:t>
            </w:r>
            <w:proofErr w:type="spellStart"/>
            <w:r>
              <w:rPr>
                <w:rFonts w:eastAsia="Times New Roman" w:cstheme="majorHAnsi"/>
                <w:color w:val="000000"/>
                <w:sz w:val="20"/>
                <w:szCs w:val="20"/>
                <w:lang w:val="fr-FR"/>
              </w:rPr>
              <w:t>multiacteurs</w:t>
            </w:r>
            <w:proofErr w:type="spellEnd"/>
            <w:r>
              <w:rPr>
                <w:rFonts w:eastAsia="Times New Roman" w:cstheme="majorHAnsi"/>
                <w:color w:val="000000"/>
                <w:sz w:val="20"/>
                <w:szCs w:val="20"/>
                <w:lang w:val="fr-FR"/>
              </w:rPr>
              <w:t xml:space="preserve"> de renforcement de la nutrition.</w:t>
            </w:r>
          </w:p>
        </w:tc>
        <w:tc>
          <w:tcPr>
            <w:tcW w:w="4961" w:type="dxa"/>
          </w:tcPr>
          <w:p w14:paraId="27DD8F2A" w14:textId="5686E51D" w:rsidR="00CF72FE" w:rsidRPr="00BD3D80" w:rsidRDefault="00C26CAB" w:rsidP="00FF497B">
            <w:pPr>
              <w:pStyle w:val="ListParagraph"/>
              <w:numPr>
                <w:ilvl w:val="0"/>
                <w:numId w:val="19"/>
              </w:numPr>
              <w:spacing w:beforeLines="60" w:before="144" w:afterLines="60" w:after="144"/>
              <w:jc w:val="left"/>
              <w:rPr>
                <w:color w:val="FF0000"/>
                <w:sz w:val="20"/>
                <w:szCs w:val="20"/>
                <w:lang w:val="fr-FR"/>
              </w:rPr>
            </w:pPr>
            <w:r>
              <w:rPr>
                <w:sz w:val="20"/>
                <w:szCs w:val="20"/>
                <w:lang w:val="fr-FR"/>
              </w:rPr>
              <w:t xml:space="preserve">Pourcentage </w:t>
            </w:r>
            <w:r w:rsidR="00CF72FE">
              <w:rPr>
                <w:sz w:val="20"/>
                <w:szCs w:val="20"/>
                <w:lang w:val="fr-FR"/>
              </w:rPr>
              <w:t>d</w:t>
            </w:r>
            <w:r w:rsidR="002C54BD">
              <w:rPr>
                <w:sz w:val="20"/>
                <w:szCs w:val="20"/>
                <w:lang w:val="fr-FR"/>
              </w:rPr>
              <w:t>’</w:t>
            </w:r>
            <w:r w:rsidR="00CF72FE">
              <w:rPr>
                <w:sz w:val="20"/>
                <w:szCs w:val="20"/>
                <w:lang w:val="fr-FR"/>
              </w:rPr>
              <w:t xml:space="preserve">ASC financées qui augmentent leur </w:t>
            </w:r>
            <w:r w:rsidR="00AF071B">
              <w:rPr>
                <w:sz w:val="20"/>
                <w:szCs w:val="20"/>
                <w:lang w:val="fr-FR"/>
              </w:rPr>
              <w:t xml:space="preserve">note </w:t>
            </w:r>
            <w:r w:rsidR="00CF72FE">
              <w:rPr>
                <w:sz w:val="20"/>
                <w:szCs w:val="20"/>
                <w:lang w:val="fr-FR"/>
              </w:rPr>
              <w:t xml:space="preserve">en termes de fonctionnalité – ASC qui améliorent leur </w:t>
            </w:r>
            <w:r w:rsidR="00AF071B">
              <w:rPr>
                <w:sz w:val="20"/>
                <w:szCs w:val="20"/>
                <w:lang w:val="fr-FR"/>
              </w:rPr>
              <w:t xml:space="preserve">note </w:t>
            </w:r>
            <w:r w:rsidR="00CF72FE">
              <w:rPr>
                <w:sz w:val="20"/>
                <w:szCs w:val="20"/>
                <w:lang w:val="fr-FR"/>
              </w:rPr>
              <w:t>d</w:t>
            </w:r>
            <w:r w:rsidR="002C54BD">
              <w:rPr>
                <w:sz w:val="20"/>
                <w:szCs w:val="20"/>
                <w:lang w:val="fr-FR"/>
              </w:rPr>
              <w:t>’</w:t>
            </w:r>
            <w:r w:rsidR="00CF72FE">
              <w:rPr>
                <w:sz w:val="20"/>
                <w:szCs w:val="20"/>
                <w:lang w:val="fr-FR"/>
              </w:rPr>
              <w:t xml:space="preserve">auto-évaluation de la gouvernance </w:t>
            </w:r>
            <w:r w:rsidR="00CF72FE">
              <w:rPr>
                <w:color w:val="ED7D31" w:themeColor="accent2"/>
                <w:sz w:val="20"/>
                <w:szCs w:val="20"/>
                <w:lang w:val="fr-FR"/>
              </w:rPr>
              <w:t>(</w:t>
            </w:r>
            <w:r w:rsidR="00BB74DB">
              <w:rPr>
                <w:color w:val="ED7D31" w:themeColor="accent2"/>
                <w:sz w:val="20"/>
                <w:szCs w:val="20"/>
                <w:lang w:val="fr-FR"/>
              </w:rPr>
              <w:t>fonds communs</w:t>
            </w:r>
            <w:r w:rsidR="00CF72FE">
              <w:rPr>
                <w:color w:val="ED7D31" w:themeColor="accent2"/>
                <w:sz w:val="20"/>
                <w:szCs w:val="20"/>
                <w:lang w:val="fr-FR"/>
              </w:rPr>
              <w:t>)</w:t>
            </w:r>
          </w:p>
        </w:tc>
      </w:tr>
      <w:tr w:rsidR="00F939B5" w14:paraId="595D8230" w14:textId="77777777" w:rsidTr="000759DD">
        <w:tc>
          <w:tcPr>
            <w:tcW w:w="9918" w:type="dxa"/>
            <w:gridSpan w:val="2"/>
            <w:vAlign w:val="center"/>
          </w:tcPr>
          <w:p w14:paraId="600C77D1" w14:textId="3E7D884E" w:rsidR="00F939B5" w:rsidRPr="008B71D1" w:rsidRDefault="00F939B5" w:rsidP="008B71D1">
            <w:pPr>
              <w:spacing w:beforeLines="60" w:before="144" w:afterLines="60" w:after="144"/>
              <w:jc w:val="center"/>
              <w:rPr>
                <w:b/>
                <w:sz w:val="20"/>
                <w:szCs w:val="20"/>
              </w:rPr>
            </w:pPr>
            <w:r>
              <w:rPr>
                <w:rFonts w:eastAsia="Times New Roman" w:cstheme="majorHAnsi"/>
                <w:b/>
                <w:bCs/>
                <w:color w:val="000000"/>
                <w:sz w:val="20"/>
                <w:szCs w:val="20"/>
                <w:lang w:val="fr-FR"/>
              </w:rPr>
              <w:t>Résultat intermédiaire</w:t>
            </w:r>
            <w:r w:rsidR="002C54BD">
              <w:rPr>
                <w:rFonts w:eastAsia="Times New Roman" w:cstheme="majorHAnsi"/>
                <w:b/>
                <w:bCs/>
                <w:color w:val="000000"/>
                <w:sz w:val="20"/>
                <w:szCs w:val="20"/>
                <w:lang w:val="fr-FR"/>
              </w:rPr>
              <w:t> </w:t>
            </w:r>
            <w:r>
              <w:rPr>
                <w:rFonts w:eastAsia="Times New Roman" w:cstheme="majorHAnsi"/>
                <w:b/>
                <w:bCs/>
                <w:color w:val="000000"/>
                <w:sz w:val="20"/>
                <w:szCs w:val="20"/>
                <w:lang w:val="fr-FR"/>
              </w:rPr>
              <w:t>4.1</w:t>
            </w:r>
          </w:p>
        </w:tc>
      </w:tr>
      <w:tr w:rsidR="00CF72FE" w:rsidRPr="00880085" w14:paraId="74B0F2E4" w14:textId="77777777" w:rsidTr="005D6077">
        <w:tc>
          <w:tcPr>
            <w:tcW w:w="4957" w:type="dxa"/>
            <w:vAlign w:val="center"/>
          </w:tcPr>
          <w:p w14:paraId="7A9FBC32" w14:textId="0879E18F" w:rsidR="00CF72FE" w:rsidRPr="00BD3D80" w:rsidRDefault="00C05D41" w:rsidP="00FF497B">
            <w:pPr>
              <w:rPr>
                <w:rFonts w:eastAsia="Times New Roman" w:cs="Arial"/>
                <w:sz w:val="20"/>
                <w:szCs w:val="20"/>
                <w:lang w:val="fr-FR"/>
              </w:rPr>
            </w:pPr>
            <w:bookmarkStart w:id="20" w:name="_Hlk502938290"/>
            <w:r>
              <w:rPr>
                <w:rFonts w:eastAsia="Times New Roman" w:cs="Arial"/>
                <w:sz w:val="20"/>
                <w:szCs w:val="20"/>
                <w:lang w:val="fr-FR"/>
              </w:rPr>
              <w:t xml:space="preserve">4.1. Le </w:t>
            </w:r>
            <w:r w:rsidR="00716DEB">
              <w:rPr>
                <w:rFonts w:eastAsia="Times New Roman" w:cs="Arial"/>
                <w:sz w:val="20"/>
                <w:szCs w:val="20"/>
                <w:lang w:val="fr-FR"/>
              </w:rPr>
              <w:t xml:space="preserve">Réseau de la société civile </w:t>
            </w:r>
            <w:r>
              <w:rPr>
                <w:rFonts w:eastAsia="Times New Roman" w:cs="Arial"/>
                <w:sz w:val="20"/>
                <w:szCs w:val="20"/>
                <w:lang w:val="fr-FR"/>
              </w:rPr>
              <w:t>influence les gouvernements, le secteur privé et les donateurs (parties prenantes clés) au niveau international et régional.</w:t>
            </w:r>
            <w:bookmarkEnd w:id="20"/>
          </w:p>
        </w:tc>
        <w:tc>
          <w:tcPr>
            <w:tcW w:w="4961" w:type="dxa"/>
          </w:tcPr>
          <w:p w14:paraId="7543FCFD" w14:textId="6965AA89" w:rsidR="00CF72FE" w:rsidRPr="00BD3D80" w:rsidRDefault="00C26CAB" w:rsidP="00FF497B">
            <w:pPr>
              <w:pStyle w:val="ListParagraph"/>
              <w:numPr>
                <w:ilvl w:val="0"/>
                <w:numId w:val="19"/>
              </w:numPr>
              <w:ind w:left="459"/>
              <w:jc w:val="left"/>
              <w:rPr>
                <w:rFonts w:eastAsia="Times New Roman" w:cs="Arial"/>
                <w:sz w:val="20"/>
                <w:szCs w:val="20"/>
                <w:lang w:val="fr-FR"/>
              </w:rPr>
            </w:pPr>
            <w:r>
              <w:rPr>
                <w:rFonts w:eastAsia="Times New Roman" w:cs="Arial"/>
                <w:sz w:val="20"/>
                <w:szCs w:val="20"/>
                <w:lang w:val="fr-FR"/>
              </w:rPr>
              <w:t xml:space="preserve">Pourcentage </w:t>
            </w:r>
            <w:r w:rsidR="00CF72FE">
              <w:rPr>
                <w:rFonts w:eastAsia="Times New Roman" w:cs="Arial"/>
                <w:sz w:val="20"/>
                <w:szCs w:val="20"/>
                <w:lang w:val="fr-FR"/>
              </w:rPr>
              <w:t xml:space="preserve">des ASC dont les demandes présentées au niveau international/régional ont été </w:t>
            </w:r>
            <w:r w:rsidR="008D00A6">
              <w:rPr>
                <w:rFonts w:eastAsia="Times New Roman" w:cs="Arial"/>
                <w:sz w:val="20"/>
                <w:szCs w:val="20"/>
                <w:lang w:val="fr-FR"/>
              </w:rPr>
              <w:t>examinées</w:t>
            </w:r>
          </w:p>
          <w:p w14:paraId="2E5AB48B" w14:textId="63EB9B91" w:rsidR="00B61176" w:rsidRPr="00BD3D80" w:rsidRDefault="00B97680" w:rsidP="00FF497B">
            <w:pPr>
              <w:pStyle w:val="ListParagraph"/>
              <w:numPr>
                <w:ilvl w:val="0"/>
                <w:numId w:val="19"/>
              </w:numPr>
              <w:ind w:left="459"/>
              <w:jc w:val="left"/>
              <w:rPr>
                <w:rFonts w:eastAsia="Times New Roman" w:cs="Arial"/>
                <w:sz w:val="20"/>
                <w:szCs w:val="20"/>
                <w:lang w:val="fr-FR"/>
              </w:rPr>
            </w:pPr>
            <w:r>
              <w:rPr>
                <w:rFonts w:eastAsia="Times New Roman" w:cs="Arial"/>
                <w:sz w:val="20"/>
                <w:szCs w:val="20"/>
                <w:highlight w:val="lightGray"/>
                <w:lang w:val="fr-FR"/>
              </w:rPr>
              <w:t>Nombre et qualité des actions de suivi après l</w:t>
            </w:r>
            <w:r w:rsidR="002C54BD">
              <w:rPr>
                <w:rFonts w:eastAsia="Times New Roman" w:cs="Arial"/>
                <w:sz w:val="20"/>
                <w:szCs w:val="20"/>
                <w:highlight w:val="lightGray"/>
                <w:lang w:val="fr-FR"/>
              </w:rPr>
              <w:t>’</w:t>
            </w:r>
            <w:r>
              <w:rPr>
                <w:rFonts w:eastAsia="Times New Roman" w:cs="Arial"/>
                <w:sz w:val="20"/>
                <w:szCs w:val="20"/>
                <w:highlight w:val="lightGray"/>
                <w:lang w:val="fr-FR"/>
              </w:rPr>
              <w:t>événement (par partie prenante et résultats)</w:t>
            </w:r>
          </w:p>
          <w:p w14:paraId="3228FFEB" w14:textId="23DA67B4" w:rsidR="00A053DF" w:rsidRPr="00BD3D80" w:rsidRDefault="00A053DF" w:rsidP="00FF497B">
            <w:pPr>
              <w:pStyle w:val="ListParagraph"/>
              <w:numPr>
                <w:ilvl w:val="0"/>
                <w:numId w:val="19"/>
              </w:numPr>
              <w:jc w:val="left"/>
              <w:rPr>
                <w:rFonts w:eastAsia="Times New Roman" w:cs="Arial"/>
                <w:sz w:val="20"/>
                <w:szCs w:val="20"/>
                <w:lang w:val="fr-FR"/>
              </w:rPr>
            </w:pPr>
            <w:r>
              <w:rPr>
                <w:rFonts w:eastAsia="Times New Roman" w:cs="Arial"/>
                <w:sz w:val="20"/>
                <w:szCs w:val="20"/>
                <w:lang w:val="fr-FR"/>
              </w:rPr>
              <w:t>Nombre d</w:t>
            </w:r>
            <w:r w:rsidR="002C54BD">
              <w:rPr>
                <w:rFonts w:eastAsia="Times New Roman" w:cs="Arial"/>
                <w:sz w:val="20"/>
                <w:szCs w:val="20"/>
                <w:lang w:val="fr-FR"/>
              </w:rPr>
              <w:t>’</w:t>
            </w:r>
            <w:r>
              <w:rPr>
                <w:rFonts w:eastAsia="Times New Roman" w:cs="Arial"/>
                <w:sz w:val="20"/>
                <w:szCs w:val="20"/>
                <w:lang w:val="fr-FR"/>
              </w:rPr>
              <w:t xml:space="preserve">engagements pris ou de mesures prises par les décideurs conformément aux demandes </w:t>
            </w:r>
            <w:r w:rsidR="008D00A6">
              <w:rPr>
                <w:rFonts w:eastAsia="Times New Roman" w:cs="Arial"/>
                <w:sz w:val="20"/>
                <w:szCs w:val="20"/>
                <w:lang w:val="fr-FR"/>
              </w:rPr>
              <w:t xml:space="preserve">des </w:t>
            </w:r>
            <w:r w:rsidR="00644F77">
              <w:rPr>
                <w:rFonts w:eastAsia="Times New Roman" w:cs="Arial"/>
                <w:sz w:val="20"/>
                <w:szCs w:val="20"/>
                <w:lang w:val="fr-FR"/>
              </w:rPr>
              <w:t xml:space="preserve">Réseaux de la société civile </w:t>
            </w:r>
          </w:p>
          <w:p w14:paraId="69EEAFB6" w14:textId="77777777" w:rsidR="00A053DF" w:rsidRPr="00BD3D80" w:rsidRDefault="00A053DF" w:rsidP="00FF497B">
            <w:pPr>
              <w:rPr>
                <w:rFonts w:eastAsia="Times New Roman" w:cs="Arial"/>
                <w:sz w:val="20"/>
                <w:szCs w:val="20"/>
                <w:lang w:val="fr-FR"/>
              </w:rPr>
            </w:pPr>
          </w:p>
          <w:p w14:paraId="04D7D50D" w14:textId="1CF56B2C" w:rsidR="00A053DF" w:rsidRPr="00BD3D80" w:rsidRDefault="00A053DF" w:rsidP="00FF497B">
            <w:pPr>
              <w:pStyle w:val="ListParagraph"/>
              <w:numPr>
                <w:ilvl w:val="0"/>
                <w:numId w:val="19"/>
              </w:numPr>
              <w:jc w:val="left"/>
              <w:rPr>
                <w:rFonts w:eastAsia="Times New Roman" w:cs="Arial"/>
                <w:sz w:val="20"/>
                <w:szCs w:val="20"/>
                <w:lang w:val="fr-FR"/>
              </w:rPr>
            </w:pPr>
            <w:r>
              <w:rPr>
                <w:rFonts w:eastAsia="Times New Roman" w:cs="Arial"/>
                <w:sz w:val="20"/>
                <w:szCs w:val="20"/>
                <w:lang w:val="fr-FR"/>
              </w:rPr>
              <w:t xml:space="preserve">Nombre de </w:t>
            </w:r>
            <w:r w:rsidR="003B4744">
              <w:rPr>
                <w:rFonts w:eastAsia="Times New Roman" w:cs="Arial"/>
                <w:sz w:val="20"/>
                <w:szCs w:val="20"/>
                <w:lang w:val="fr-FR"/>
              </w:rPr>
              <w:t>mentions</w:t>
            </w:r>
            <w:r>
              <w:rPr>
                <w:rFonts w:eastAsia="Times New Roman" w:cs="Arial"/>
                <w:sz w:val="20"/>
                <w:szCs w:val="20"/>
                <w:lang w:val="fr-FR"/>
              </w:rPr>
              <w:t xml:space="preserve"> qui reflètent, lors des forums mondiaux, un changement d</w:t>
            </w:r>
            <w:r w:rsidR="002C54BD">
              <w:rPr>
                <w:rFonts w:eastAsia="Times New Roman" w:cs="Arial"/>
                <w:sz w:val="20"/>
                <w:szCs w:val="20"/>
                <w:lang w:val="fr-FR"/>
              </w:rPr>
              <w:t>’</w:t>
            </w:r>
            <w:r>
              <w:rPr>
                <w:rFonts w:eastAsia="Times New Roman" w:cs="Arial"/>
                <w:sz w:val="20"/>
                <w:szCs w:val="20"/>
                <w:lang w:val="fr-FR"/>
              </w:rPr>
              <w:t xml:space="preserve">attitude de la part des principaux décideurs, conformément aux demandes ou priorités des ASC </w:t>
            </w:r>
          </w:p>
          <w:p w14:paraId="5D03C532" w14:textId="11AA8EC1" w:rsidR="00A053DF" w:rsidRPr="00BD3D80" w:rsidRDefault="00A053DF" w:rsidP="00FF497B">
            <w:pPr>
              <w:pStyle w:val="ListParagraph"/>
              <w:numPr>
                <w:ilvl w:val="0"/>
                <w:numId w:val="19"/>
              </w:numPr>
              <w:jc w:val="left"/>
              <w:rPr>
                <w:rFonts w:eastAsia="Times New Roman" w:cs="Arial"/>
                <w:sz w:val="20"/>
                <w:szCs w:val="20"/>
                <w:lang w:val="fr-FR"/>
              </w:rPr>
            </w:pPr>
            <w:r>
              <w:rPr>
                <w:rFonts w:eastAsia="Times New Roman" w:cs="Arial"/>
                <w:sz w:val="20"/>
                <w:szCs w:val="20"/>
                <w:lang w:val="fr-FR"/>
              </w:rPr>
              <w:t>Nombre d</w:t>
            </w:r>
            <w:r w:rsidR="002C54BD">
              <w:rPr>
                <w:rFonts w:eastAsia="Times New Roman" w:cs="Arial"/>
                <w:sz w:val="20"/>
                <w:szCs w:val="20"/>
                <w:lang w:val="fr-FR"/>
              </w:rPr>
              <w:t>’</w:t>
            </w:r>
            <w:r>
              <w:rPr>
                <w:rFonts w:eastAsia="Times New Roman" w:cs="Arial"/>
                <w:sz w:val="20"/>
                <w:szCs w:val="20"/>
                <w:lang w:val="fr-FR"/>
              </w:rPr>
              <w:t xml:space="preserve">engagements, conformément aux demandes des </w:t>
            </w:r>
            <w:r w:rsidR="00BD7077">
              <w:rPr>
                <w:rFonts w:eastAsia="Times New Roman" w:cs="Arial"/>
                <w:sz w:val="20"/>
                <w:szCs w:val="20"/>
                <w:lang w:val="fr-FR"/>
              </w:rPr>
              <w:t>RSC</w:t>
            </w:r>
            <w:r>
              <w:rPr>
                <w:rFonts w:eastAsia="Times New Roman" w:cs="Arial"/>
                <w:sz w:val="20"/>
                <w:szCs w:val="20"/>
                <w:lang w:val="fr-FR"/>
              </w:rPr>
              <w:t xml:space="preserve">, transposés en </w:t>
            </w:r>
            <w:r w:rsidR="0029661A">
              <w:rPr>
                <w:rFonts w:eastAsia="Times New Roman" w:cs="Arial"/>
                <w:sz w:val="20"/>
                <w:szCs w:val="20"/>
                <w:lang w:val="fr-FR"/>
              </w:rPr>
              <w:t>plans nationaux de nutrition</w:t>
            </w:r>
          </w:p>
        </w:tc>
      </w:tr>
      <w:tr w:rsidR="00CF72FE" w:rsidRPr="00880085" w14:paraId="1EDCAB21" w14:textId="77777777" w:rsidTr="005D6077">
        <w:tc>
          <w:tcPr>
            <w:tcW w:w="4957" w:type="dxa"/>
            <w:vAlign w:val="center"/>
          </w:tcPr>
          <w:p w14:paraId="43630BF7" w14:textId="45CED2CF" w:rsidR="00CF72FE" w:rsidRPr="00BD3D80" w:rsidRDefault="00C05D41" w:rsidP="00FF497B">
            <w:pPr>
              <w:rPr>
                <w:rFonts w:eastAsia="Times New Roman" w:cs="Arial"/>
                <w:color w:val="000000"/>
                <w:sz w:val="20"/>
                <w:szCs w:val="20"/>
                <w:lang w:val="fr-FR"/>
              </w:rPr>
            </w:pPr>
            <w:bookmarkStart w:id="21" w:name="_Hlk502938786"/>
            <w:r>
              <w:rPr>
                <w:rFonts w:eastAsia="Times New Roman" w:cs="Arial"/>
                <w:color w:val="000000"/>
                <w:sz w:val="20"/>
                <w:szCs w:val="20"/>
                <w:lang w:val="fr-FR"/>
              </w:rPr>
              <w:t xml:space="preserve">4.2. Les principales parties prenantes (décideurs, Nations Unies, secteur privé et autres ONG) reçoivent des données factuelles pour élaborer des </w:t>
            </w:r>
            <w:r w:rsidR="0029661A">
              <w:rPr>
                <w:rFonts w:eastAsia="Times New Roman" w:cs="Arial"/>
                <w:color w:val="000000"/>
                <w:sz w:val="20"/>
                <w:szCs w:val="20"/>
                <w:lang w:val="fr-FR"/>
              </w:rPr>
              <w:t>plans de nutrition</w:t>
            </w:r>
            <w:r>
              <w:rPr>
                <w:rFonts w:eastAsia="Times New Roman" w:cs="Arial"/>
                <w:color w:val="000000"/>
                <w:sz w:val="20"/>
                <w:szCs w:val="20"/>
                <w:lang w:val="fr-FR"/>
              </w:rPr>
              <w:t xml:space="preserve"> éclairés </w:t>
            </w:r>
            <w:bookmarkEnd w:id="21"/>
          </w:p>
        </w:tc>
        <w:tc>
          <w:tcPr>
            <w:tcW w:w="4961" w:type="dxa"/>
          </w:tcPr>
          <w:p w14:paraId="22FDE2C2" w14:textId="04834C49" w:rsidR="00CF72FE" w:rsidRPr="00BD3D80" w:rsidRDefault="00CF72FE" w:rsidP="00FF497B">
            <w:pPr>
              <w:pStyle w:val="ListParagraph"/>
              <w:numPr>
                <w:ilvl w:val="0"/>
                <w:numId w:val="19"/>
              </w:numPr>
              <w:ind w:left="459"/>
              <w:jc w:val="left"/>
              <w:rPr>
                <w:rFonts w:eastAsia="Times New Roman" w:cs="Arial"/>
                <w:color w:val="000000"/>
                <w:sz w:val="20"/>
                <w:szCs w:val="20"/>
                <w:lang w:val="fr-FR"/>
              </w:rPr>
            </w:pPr>
            <w:r>
              <w:rPr>
                <w:rFonts w:eastAsia="Times New Roman" w:cs="Arial"/>
                <w:color w:val="000000"/>
                <w:sz w:val="20"/>
                <w:szCs w:val="20"/>
                <w:lang w:val="fr-FR"/>
              </w:rPr>
              <w:t xml:space="preserve">Nombre et types de parties prenantes qui tiennent compte des contributions </w:t>
            </w:r>
            <w:r w:rsidR="00BD7077">
              <w:rPr>
                <w:rFonts w:eastAsia="Times New Roman" w:cs="Arial"/>
                <w:color w:val="000000"/>
                <w:sz w:val="20"/>
                <w:szCs w:val="20"/>
                <w:lang w:val="fr-FR"/>
              </w:rPr>
              <w:t>des RSC</w:t>
            </w:r>
            <w:r>
              <w:rPr>
                <w:rFonts w:eastAsia="Times New Roman" w:cs="Arial"/>
                <w:color w:val="000000"/>
                <w:sz w:val="20"/>
                <w:szCs w:val="20"/>
                <w:lang w:val="fr-FR"/>
              </w:rPr>
              <w:t xml:space="preserve"> et des </w:t>
            </w:r>
            <w:r w:rsidR="00BD7077">
              <w:rPr>
                <w:rFonts w:eastAsia="Times New Roman" w:cs="Arial"/>
                <w:color w:val="000000"/>
                <w:sz w:val="20"/>
                <w:szCs w:val="20"/>
                <w:lang w:val="fr-FR"/>
              </w:rPr>
              <w:t>ASC</w:t>
            </w:r>
            <w:r>
              <w:rPr>
                <w:rFonts w:eastAsia="Times New Roman" w:cs="Arial"/>
                <w:color w:val="000000"/>
                <w:sz w:val="20"/>
                <w:szCs w:val="20"/>
                <w:lang w:val="fr-FR"/>
              </w:rPr>
              <w:t xml:space="preserve"> dans leurs plans.</w:t>
            </w:r>
          </w:p>
          <w:p w14:paraId="11E6D6F6" w14:textId="77777777" w:rsidR="00C1248D" w:rsidRPr="00BD3D80" w:rsidRDefault="00C1248D" w:rsidP="00FF497B">
            <w:pPr>
              <w:ind w:left="459"/>
              <w:rPr>
                <w:rFonts w:eastAsia="Times New Roman" w:cs="Arial"/>
                <w:color w:val="000000"/>
                <w:sz w:val="20"/>
                <w:szCs w:val="20"/>
                <w:lang w:val="fr-FR"/>
              </w:rPr>
            </w:pPr>
          </w:p>
          <w:p w14:paraId="54D81874" w14:textId="3902CA05" w:rsidR="00C1248D" w:rsidRPr="00BD3D80" w:rsidRDefault="00317BFC" w:rsidP="00FF497B">
            <w:pPr>
              <w:pStyle w:val="ListParagraph"/>
              <w:numPr>
                <w:ilvl w:val="0"/>
                <w:numId w:val="19"/>
              </w:numPr>
              <w:ind w:left="459"/>
              <w:jc w:val="left"/>
              <w:rPr>
                <w:rFonts w:eastAsia="Times New Roman" w:cs="Arial"/>
                <w:color w:val="000000"/>
                <w:sz w:val="20"/>
                <w:szCs w:val="20"/>
                <w:lang w:val="fr-FR"/>
              </w:rPr>
            </w:pPr>
            <w:r>
              <w:rPr>
                <w:rFonts w:eastAsia="Times New Roman" w:cs="Arial"/>
                <w:color w:val="000000"/>
                <w:sz w:val="20"/>
                <w:szCs w:val="20"/>
                <w:lang w:val="fr-FR"/>
              </w:rPr>
              <w:t xml:space="preserve">Nombre et types de parties prenantes qui ont amélioré leurs </w:t>
            </w:r>
            <w:r w:rsidR="0029661A">
              <w:rPr>
                <w:rFonts w:eastAsia="Times New Roman" w:cs="Arial"/>
                <w:color w:val="000000"/>
                <w:sz w:val="20"/>
                <w:szCs w:val="20"/>
                <w:lang w:val="fr-FR"/>
              </w:rPr>
              <w:t>plans de nutrition</w:t>
            </w:r>
            <w:r>
              <w:rPr>
                <w:rFonts w:eastAsia="Times New Roman" w:cs="Arial"/>
                <w:color w:val="000000"/>
                <w:sz w:val="20"/>
                <w:szCs w:val="20"/>
                <w:lang w:val="fr-FR"/>
              </w:rPr>
              <w:t xml:space="preserve"> (plan de travail, budget, stratégie) suite au renforcement des capacités et des actions de sensibilisation des ASC.</w:t>
            </w:r>
          </w:p>
          <w:p w14:paraId="6042623F" w14:textId="7FD04C43" w:rsidR="00ED2F58" w:rsidRPr="00BD3D80" w:rsidRDefault="00ED2F58" w:rsidP="00FF497B">
            <w:pPr>
              <w:pStyle w:val="ListParagraph"/>
              <w:numPr>
                <w:ilvl w:val="0"/>
                <w:numId w:val="19"/>
              </w:numPr>
              <w:jc w:val="left"/>
              <w:rPr>
                <w:rFonts w:eastAsia="Times New Roman" w:cs="Arial"/>
                <w:color w:val="000000"/>
                <w:sz w:val="20"/>
                <w:szCs w:val="20"/>
                <w:lang w:val="fr-FR"/>
              </w:rPr>
            </w:pPr>
            <w:r>
              <w:rPr>
                <w:rFonts w:eastAsia="Times New Roman" w:cs="Arial"/>
                <w:color w:val="000000"/>
                <w:sz w:val="20"/>
                <w:szCs w:val="20"/>
                <w:lang w:val="fr-FR"/>
              </w:rPr>
              <w:t>Nombre de documents d</w:t>
            </w:r>
            <w:r w:rsidR="002C54BD">
              <w:rPr>
                <w:rFonts w:eastAsia="Times New Roman" w:cs="Arial"/>
                <w:color w:val="000000"/>
                <w:sz w:val="20"/>
                <w:szCs w:val="20"/>
                <w:lang w:val="fr-FR"/>
              </w:rPr>
              <w:t>’</w:t>
            </w:r>
            <w:r>
              <w:rPr>
                <w:rFonts w:eastAsia="Times New Roman" w:cs="Arial"/>
                <w:color w:val="000000"/>
                <w:sz w:val="20"/>
                <w:szCs w:val="20"/>
                <w:lang w:val="fr-FR"/>
              </w:rPr>
              <w:t>orientation et d</w:t>
            </w:r>
            <w:r w:rsidR="002C54BD">
              <w:rPr>
                <w:rFonts w:eastAsia="Times New Roman" w:cs="Arial"/>
                <w:color w:val="000000"/>
                <w:sz w:val="20"/>
                <w:szCs w:val="20"/>
                <w:lang w:val="fr-FR"/>
              </w:rPr>
              <w:t>’</w:t>
            </w:r>
            <w:r>
              <w:rPr>
                <w:rFonts w:eastAsia="Times New Roman" w:cs="Arial"/>
                <w:color w:val="000000"/>
                <w:sz w:val="20"/>
                <w:szCs w:val="20"/>
                <w:lang w:val="fr-FR"/>
              </w:rPr>
              <w:t xml:space="preserve">outils produits par </w:t>
            </w:r>
            <w:r w:rsidR="003B4744">
              <w:rPr>
                <w:rFonts w:eastAsia="Times New Roman" w:cs="Arial"/>
                <w:color w:val="000000"/>
                <w:sz w:val="20"/>
                <w:szCs w:val="20"/>
                <w:lang w:val="fr-FR"/>
              </w:rPr>
              <w:t>le RSC</w:t>
            </w:r>
            <w:r>
              <w:rPr>
                <w:rFonts w:eastAsia="Times New Roman" w:cs="Arial"/>
                <w:color w:val="000000"/>
                <w:sz w:val="20"/>
                <w:szCs w:val="20"/>
                <w:lang w:val="fr-FR"/>
              </w:rPr>
              <w:t xml:space="preserve"> (études de cas, recherche, </w:t>
            </w:r>
            <w:r w:rsidR="003B4744">
              <w:rPr>
                <w:rFonts w:eastAsia="Times New Roman" w:cs="Arial"/>
                <w:color w:val="000000"/>
                <w:sz w:val="20"/>
                <w:szCs w:val="20"/>
                <w:lang w:val="fr-FR"/>
              </w:rPr>
              <w:t>notes</w:t>
            </w:r>
            <w:r>
              <w:rPr>
                <w:rFonts w:eastAsia="Times New Roman" w:cs="Arial"/>
                <w:color w:val="000000"/>
                <w:sz w:val="20"/>
                <w:szCs w:val="20"/>
                <w:lang w:val="fr-FR"/>
              </w:rPr>
              <w:t xml:space="preserve"> d</w:t>
            </w:r>
            <w:r w:rsidR="002C54BD">
              <w:rPr>
                <w:rFonts w:eastAsia="Times New Roman" w:cs="Arial"/>
                <w:color w:val="000000"/>
                <w:sz w:val="20"/>
                <w:szCs w:val="20"/>
                <w:lang w:val="fr-FR"/>
              </w:rPr>
              <w:t>’</w:t>
            </w:r>
            <w:r>
              <w:rPr>
                <w:rFonts w:eastAsia="Times New Roman" w:cs="Arial"/>
                <w:color w:val="000000"/>
                <w:sz w:val="20"/>
                <w:szCs w:val="20"/>
                <w:lang w:val="fr-FR"/>
              </w:rPr>
              <w:t xml:space="preserve">information) partagés avec les principales parties prenantes pour influencer la planification de la nutrition (ventilés par thème) </w:t>
            </w:r>
          </w:p>
          <w:p w14:paraId="3861398D" w14:textId="77777777" w:rsidR="00ED2F58" w:rsidRPr="00BD3D80" w:rsidRDefault="00ED2F58" w:rsidP="00FF497B">
            <w:pPr>
              <w:pStyle w:val="ListParagraph"/>
              <w:jc w:val="left"/>
              <w:rPr>
                <w:rFonts w:eastAsia="Times New Roman" w:cs="Arial"/>
                <w:color w:val="000000"/>
                <w:sz w:val="20"/>
                <w:szCs w:val="20"/>
                <w:lang w:val="fr-FR"/>
              </w:rPr>
            </w:pPr>
          </w:p>
          <w:p w14:paraId="6DC0011F" w14:textId="1A1380A9" w:rsidR="00ED2F58" w:rsidRPr="00BD3D80" w:rsidRDefault="00ED2F58" w:rsidP="00FF497B">
            <w:pPr>
              <w:pStyle w:val="ListParagraph"/>
              <w:numPr>
                <w:ilvl w:val="0"/>
                <w:numId w:val="19"/>
              </w:numPr>
              <w:jc w:val="left"/>
              <w:rPr>
                <w:rFonts w:eastAsia="Times New Roman" w:cs="Arial"/>
                <w:color w:val="000000"/>
                <w:sz w:val="20"/>
                <w:szCs w:val="20"/>
                <w:lang w:val="fr-FR"/>
              </w:rPr>
            </w:pPr>
            <w:r>
              <w:rPr>
                <w:rFonts w:eastAsia="Times New Roman" w:cs="Arial"/>
                <w:color w:val="000000"/>
                <w:sz w:val="20"/>
                <w:szCs w:val="20"/>
                <w:lang w:val="fr-FR"/>
              </w:rPr>
              <w:t>Nombre de mentions par les parties prenantes clés de documents produits par le</w:t>
            </w:r>
            <w:r w:rsidR="003B4744">
              <w:rPr>
                <w:rFonts w:eastAsia="Times New Roman" w:cs="Arial"/>
                <w:color w:val="000000"/>
                <w:sz w:val="20"/>
                <w:szCs w:val="20"/>
                <w:lang w:val="fr-FR"/>
              </w:rPr>
              <w:t xml:space="preserve"> RSC</w:t>
            </w:r>
            <w:r>
              <w:rPr>
                <w:rFonts w:eastAsia="Times New Roman" w:cs="Arial"/>
                <w:color w:val="000000"/>
                <w:sz w:val="20"/>
                <w:szCs w:val="20"/>
                <w:lang w:val="fr-FR"/>
              </w:rPr>
              <w:t xml:space="preserve"> lors de forums mondiaux</w:t>
            </w:r>
            <w:r w:rsidR="00C26CAB">
              <w:rPr>
                <w:rFonts w:eastAsia="Times New Roman" w:cs="Arial"/>
                <w:color w:val="000000"/>
                <w:sz w:val="20"/>
                <w:szCs w:val="20"/>
                <w:lang w:val="fr-FR"/>
              </w:rPr>
              <w:t xml:space="preserve"> </w:t>
            </w:r>
          </w:p>
          <w:p w14:paraId="2A4663B8" w14:textId="77777777" w:rsidR="00DC3E3F" w:rsidRPr="00BD3D80" w:rsidRDefault="00DC3E3F" w:rsidP="00FF497B">
            <w:pPr>
              <w:pStyle w:val="ListParagraph"/>
              <w:jc w:val="left"/>
              <w:rPr>
                <w:rFonts w:eastAsia="Times New Roman" w:cs="Arial"/>
                <w:color w:val="000000"/>
                <w:sz w:val="20"/>
                <w:szCs w:val="20"/>
                <w:lang w:val="fr-FR"/>
              </w:rPr>
            </w:pPr>
          </w:p>
          <w:p w14:paraId="49CED560" w14:textId="0BDDBE3E" w:rsidR="00C1248D" w:rsidRPr="00BD3D80" w:rsidRDefault="00C1248D" w:rsidP="00FF497B">
            <w:pPr>
              <w:pStyle w:val="ListParagraph"/>
              <w:jc w:val="left"/>
              <w:rPr>
                <w:rFonts w:eastAsia="Times New Roman" w:cs="Arial"/>
                <w:color w:val="000000"/>
                <w:sz w:val="20"/>
                <w:szCs w:val="20"/>
                <w:lang w:val="fr-FR"/>
              </w:rPr>
            </w:pPr>
          </w:p>
        </w:tc>
      </w:tr>
      <w:tr w:rsidR="00CF72FE" w:rsidRPr="00880085" w14:paraId="3C4F23AD" w14:textId="77777777" w:rsidTr="005D6077">
        <w:tc>
          <w:tcPr>
            <w:tcW w:w="4957" w:type="dxa"/>
            <w:vAlign w:val="center"/>
          </w:tcPr>
          <w:p w14:paraId="129DD002" w14:textId="35140F46" w:rsidR="00CF72FE" w:rsidRPr="00BD3D80" w:rsidRDefault="00C05D41" w:rsidP="00FF497B">
            <w:pPr>
              <w:rPr>
                <w:rFonts w:eastAsia="Times New Roman" w:cs="Arial"/>
                <w:color w:val="000000"/>
                <w:sz w:val="20"/>
                <w:szCs w:val="20"/>
                <w:lang w:val="fr-FR"/>
              </w:rPr>
            </w:pPr>
            <w:bookmarkStart w:id="22" w:name="_Hlk502938307"/>
            <w:r>
              <w:rPr>
                <w:rFonts w:eastAsia="Times New Roman" w:cs="Arial"/>
                <w:color w:val="000000"/>
                <w:sz w:val="20"/>
                <w:szCs w:val="20"/>
                <w:lang w:val="fr-FR"/>
              </w:rPr>
              <w:t>4.3. Coordination et redevabilité accrues au sein de la communauté mondiale de la nutrition, y compris d</w:t>
            </w:r>
            <w:r w:rsidR="002C54BD">
              <w:rPr>
                <w:rFonts w:eastAsia="Times New Roman" w:cs="Arial"/>
                <w:color w:val="000000"/>
                <w:sz w:val="20"/>
                <w:szCs w:val="20"/>
                <w:lang w:val="fr-FR"/>
              </w:rPr>
              <w:t>’</w:t>
            </w:r>
            <w:r>
              <w:rPr>
                <w:rFonts w:eastAsia="Times New Roman" w:cs="Arial"/>
                <w:color w:val="000000"/>
                <w:sz w:val="20"/>
                <w:szCs w:val="20"/>
                <w:lang w:val="fr-FR"/>
              </w:rPr>
              <w:t>autres réseaux sectoriels, grâce au leadership de la société civile.</w:t>
            </w:r>
            <w:bookmarkEnd w:id="22"/>
          </w:p>
        </w:tc>
        <w:tc>
          <w:tcPr>
            <w:tcW w:w="4961" w:type="dxa"/>
          </w:tcPr>
          <w:p w14:paraId="4B4186FC" w14:textId="304773A7" w:rsidR="00CF72FE" w:rsidRPr="00BD3D80" w:rsidRDefault="00C26CAB" w:rsidP="00FF497B">
            <w:pPr>
              <w:pStyle w:val="ListParagraph"/>
              <w:numPr>
                <w:ilvl w:val="0"/>
                <w:numId w:val="19"/>
              </w:numPr>
              <w:ind w:left="459"/>
              <w:jc w:val="left"/>
              <w:rPr>
                <w:rFonts w:eastAsia="Times New Roman" w:cs="Arial"/>
                <w:sz w:val="20"/>
                <w:szCs w:val="20"/>
                <w:lang w:val="fr-FR"/>
              </w:rPr>
            </w:pPr>
            <w:r>
              <w:rPr>
                <w:rFonts w:eastAsia="Times New Roman" w:cs="Arial"/>
                <w:sz w:val="20"/>
                <w:szCs w:val="20"/>
                <w:lang w:val="fr-FR"/>
              </w:rPr>
              <w:t xml:space="preserve">Pourcentage </w:t>
            </w:r>
            <w:r w:rsidR="00CF72FE">
              <w:rPr>
                <w:rFonts w:eastAsia="Times New Roman" w:cs="Arial"/>
                <w:sz w:val="20"/>
                <w:szCs w:val="20"/>
                <w:lang w:val="fr-FR"/>
              </w:rPr>
              <w:t xml:space="preserve">des ASC contribuant </w:t>
            </w:r>
            <w:r w:rsidR="00BF12DB">
              <w:rPr>
                <w:rFonts w:eastAsia="Times New Roman" w:cs="Arial"/>
                <w:sz w:val="20"/>
                <w:szCs w:val="20"/>
                <w:lang w:val="fr-FR"/>
              </w:rPr>
              <w:t xml:space="preserve">efficacement </w:t>
            </w:r>
            <w:r w:rsidR="00CF72FE">
              <w:rPr>
                <w:rFonts w:eastAsia="Times New Roman" w:cs="Arial"/>
                <w:sz w:val="20"/>
                <w:szCs w:val="20"/>
                <w:lang w:val="fr-FR"/>
              </w:rPr>
              <w:t>à la planification/</w:t>
            </w:r>
            <w:r w:rsidR="00401E46">
              <w:rPr>
                <w:rFonts w:eastAsia="Times New Roman" w:cs="Arial"/>
                <w:sz w:val="20"/>
                <w:szCs w:val="20"/>
                <w:lang w:val="fr-FR"/>
              </w:rPr>
              <w:t>l’</w:t>
            </w:r>
            <w:r w:rsidR="00CF72FE">
              <w:rPr>
                <w:rFonts w:eastAsia="Times New Roman" w:cs="Arial"/>
                <w:sz w:val="20"/>
                <w:szCs w:val="20"/>
                <w:lang w:val="fr-FR"/>
              </w:rPr>
              <w:t xml:space="preserve">examen conjoint des plateformes </w:t>
            </w:r>
            <w:proofErr w:type="spellStart"/>
            <w:r w:rsidR="00CF72FE">
              <w:rPr>
                <w:rFonts w:eastAsia="Times New Roman" w:cs="Arial"/>
                <w:sz w:val="20"/>
                <w:szCs w:val="20"/>
                <w:lang w:val="fr-FR"/>
              </w:rPr>
              <w:t>multiacteurs</w:t>
            </w:r>
            <w:proofErr w:type="spellEnd"/>
            <w:r w:rsidR="00CF72FE">
              <w:rPr>
                <w:rFonts w:eastAsia="Times New Roman" w:cs="Arial"/>
                <w:sz w:val="20"/>
                <w:szCs w:val="20"/>
                <w:lang w:val="fr-FR"/>
              </w:rPr>
              <w:t xml:space="preserve"> au niveau mondial et régional (l</w:t>
            </w:r>
            <w:r w:rsidR="00DE7806">
              <w:rPr>
                <w:rFonts w:eastAsia="Times New Roman" w:cs="Arial"/>
                <w:sz w:val="20"/>
                <w:szCs w:val="20"/>
                <w:lang w:val="fr-FR"/>
              </w:rPr>
              <w:t>’</w:t>
            </w:r>
            <w:r w:rsidR="00CF72FE">
              <w:rPr>
                <w:rFonts w:eastAsia="Times New Roman" w:cs="Arial"/>
                <w:sz w:val="20"/>
                <w:szCs w:val="20"/>
                <w:lang w:val="fr-FR"/>
              </w:rPr>
              <w:t>«</w:t>
            </w:r>
            <w:r w:rsidR="002C54BD">
              <w:rPr>
                <w:rFonts w:eastAsia="Times New Roman" w:cs="Arial"/>
                <w:sz w:val="20"/>
                <w:szCs w:val="20"/>
                <w:lang w:val="fr-FR"/>
              </w:rPr>
              <w:t> </w:t>
            </w:r>
            <w:r w:rsidR="00CF72FE">
              <w:rPr>
                <w:rFonts w:eastAsia="Times New Roman" w:cs="Arial"/>
                <w:sz w:val="20"/>
                <w:szCs w:val="20"/>
                <w:lang w:val="fr-FR"/>
              </w:rPr>
              <w:t>efficacité</w:t>
            </w:r>
            <w:r w:rsidR="002C54BD">
              <w:rPr>
                <w:rFonts w:eastAsia="Times New Roman" w:cs="Arial"/>
                <w:sz w:val="20"/>
                <w:szCs w:val="20"/>
                <w:lang w:val="fr-FR"/>
              </w:rPr>
              <w:t> </w:t>
            </w:r>
            <w:r w:rsidR="00CF72FE">
              <w:rPr>
                <w:rFonts w:eastAsia="Times New Roman" w:cs="Arial"/>
                <w:sz w:val="20"/>
                <w:szCs w:val="20"/>
                <w:lang w:val="fr-FR"/>
              </w:rPr>
              <w:t>» étant mesurée comme suit</w:t>
            </w:r>
            <w:r w:rsidR="002C54BD">
              <w:rPr>
                <w:rFonts w:eastAsia="Times New Roman" w:cs="Arial"/>
                <w:sz w:val="20"/>
                <w:szCs w:val="20"/>
                <w:lang w:val="fr-FR"/>
              </w:rPr>
              <w:t> </w:t>
            </w:r>
            <w:r w:rsidR="00CF72FE">
              <w:rPr>
                <w:rFonts w:eastAsia="Times New Roman" w:cs="Arial"/>
                <w:sz w:val="20"/>
                <w:szCs w:val="20"/>
                <w:lang w:val="fr-FR"/>
              </w:rPr>
              <w:t xml:space="preserve">: </w:t>
            </w:r>
            <w:r w:rsidR="00401E46">
              <w:rPr>
                <w:rFonts w:eastAsia="Times New Roman" w:cs="Arial"/>
                <w:sz w:val="20"/>
                <w:szCs w:val="20"/>
                <w:lang w:val="fr-FR"/>
              </w:rPr>
              <w:t>n</w:t>
            </w:r>
            <w:r w:rsidR="00CF72FE">
              <w:rPr>
                <w:rFonts w:eastAsia="Times New Roman" w:cs="Arial"/>
                <w:sz w:val="20"/>
                <w:szCs w:val="20"/>
                <w:lang w:val="fr-FR"/>
              </w:rPr>
              <w:t>ombre de plans conjoints élaborés avec la participation des ASC au niveau mondial/</w:t>
            </w:r>
            <w:r w:rsidR="00401E46">
              <w:rPr>
                <w:rFonts w:eastAsia="Times New Roman" w:cs="Arial"/>
                <w:sz w:val="20"/>
                <w:szCs w:val="20"/>
                <w:lang w:val="fr-FR"/>
              </w:rPr>
              <w:t>régional/</w:t>
            </w:r>
            <w:r w:rsidR="00CF72FE">
              <w:rPr>
                <w:rFonts w:eastAsia="Times New Roman" w:cs="Arial"/>
                <w:sz w:val="20"/>
                <w:szCs w:val="20"/>
                <w:lang w:val="fr-FR"/>
              </w:rPr>
              <w:t>national/infranational</w:t>
            </w:r>
            <w:r w:rsidR="002C54BD">
              <w:rPr>
                <w:rFonts w:eastAsia="Times New Roman" w:cs="Arial"/>
                <w:sz w:val="20"/>
                <w:szCs w:val="20"/>
                <w:lang w:val="fr-FR"/>
              </w:rPr>
              <w:t> </w:t>
            </w:r>
            <w:r w:rsidR="00CF72FE">
              <w:rPr>
                <w:rFonts w:eastAsia="Times New Roman" w:cs="Arial"/>
                <w:sz w:val="20"/>
                <w:szCs w:val="20"/>
                <w:lang w:val="fr-FR"/>
              </w:rPr>
              <w:t xml:space="preserve">; nombre de réunions de planification/révision tenues avec la </w:t>
            </w:r>
            <w:r w:rsidR="00CF72FE">
              <w:rPr>
                <w:rFonts w:eastAsia="Times New Roman" w:cs="Arial"/>
                <w:sz w:val="20"/>
                <w:szCs w:val="20"/>
                <w:lang w:val="fr-FR"/>
              </w:rPr>
              <w:lastRenderedPageBreak/>
              <w:t>participation des représentants des ASC</w:t>
            </w:r>
            <w:r w:rsidR="002C54BD">
              <w:rPr>
                <w:rFonts w:eastAsia="Times New Roman" w:cs="Arial"/>
                <w:sz w:val="20"/>
                <w:szCs w:val="20"/>
                <w:lang w:val="fr-FR"/>
              </w:rPr>
              <w:t> </w:t>
            </w:r>
            <w:r w:rsidR="00CF72FE">
              <w:rPr>
                <w:rFonts w:eastAsia="Times New Roman" w:cs="Arial"/>
                <w:sz w:val="20"/>
                <w:szCs w:val="20"/>
                <w:lang w:val="fr-FR"/>
              </w:rPr>
              <w:t xml:space="preserve">; nombre de plans des plateformes </w:t>
            </w:r>
            <w:proofErr w:type="spellStart"/>
            <w:r w:rsidR="00CF72FE">
              <w:rPr>
                <w:rFonts w:eastAsia="Times New Roman" w:cs="Arial"/>
                <w:sz w:val="20"/>
                <w:szCs w:val="20"/>
                <w:lang w:val="fr-FR"/>
              </w:rPr>
              <w:t>multiacteurs</w:t>
            </w:r>
            <w:proofErr w:type="spellEnd"/>
            <w:r w:rsidR="00CF72FE">
              <w:rPr>
                <w:rFonts w:eastAsia="Times New Roman" w:cs="Arial"/>
                <w:sz w:val="20"/>
                <w:szCs w:val="20"/>
                <w:lang w:val="fr-FR"/>
              </w:rPr>
              <w:t xml:space="preserve"> assortis </w:t>
            </w:r>
            <w:r w:rsidR="00401E46">
              <w:rPr>
                <w:rFonts w:eastAsia="Times New Roman" w:cs="Arial"/>
                <w:sz w:val="20"/>
                <w:szCs w:val="20"/>
                <w:lang w:val="fr-FR"/>
              </w:rPr>
              <w:t xml:space="preserve">de cibles </w:t>
            </w:r>
            <w:r w:rsidR="00CF72FE">
              <w:rPr>
                <w:rFonts w:eastAsia="Times New Roman" w:cs="Arial"/>
                <w:sz w:val="20"/>
                <w:szCs w:val="20"/>
                <w:lang w:val="fr-FR"/>
              </w:rPr>
              <w:t>SMART et rapport d</w:t>
            </w:r>
            <w:r w:rsidR="002C54BD">
              <w:rPr>
                <w:rFonts w:eastAsia="Times New Roman" w:cs="Arial"/>
                <w:sz w:val="20"/>
                <w:szCs w:val="20"/>
                <w:lang w:val="fr-FR"/>
              </w:rPr>
              <w:t>’</w:t>
            </w:r>
            <w:r w:rsidR="00CF72FE">
              <w:rPr>
                <w:rFonts w:eastAsia="Times New Roman" w:cs="Arial"/>
                <w:sz w:val="20"/>
                <w:szCs w:val="20"/>
                <w:lang w:val="fr-FR"/>
              </w:rPr>
              <w:t xml:space="preserve">avancement actualisé par rapport à ces </w:t>
            </w:r>
            <w:r w:rsidR="000B2EB1">
              <w:rPr>
                <w:rFonts w:eastAsia="Times New Roman" w:cs="Arial"/>
                <w:sz w:val="20"/>
                <w:szCs w:val="20"/>
                <w:lang w:val="fr-FR"/>
              </w:rPr>
              <w:t>cibles</w:t>
            </w:r>
            <w:r w:rsidR="00CF72FE">
              <w:rPr>
                <w:rFonts w:eastAsia="Times New Roman" w:cs="Arial"/>
                <w:sz w:val="20"/>
                <w:szCs w:val="20"/>
                <w:lang w:val="fr-FR"/>
              </w:rPr>
              <w:t>)</w:t>
            </w:r>
          </w:p>
          <w:p w14:paraId="2BE45C79" w14:textId="77777777" w:rsidR="00786C00" w:rsidRPr="00BD3D80" w:rsidRDefault="00786C00" w:rsidP="00FF497B">
            <w:pPr>
              <w:ind w:left="459"/>
              <w:rPr>
                <w:rFonts w:eastAsia="Times New Roman" w:cs="Arial"/>
                <w:sz w:val="20"/>
                <w:szCs w:val="20"/>
                <w:lang w:val="fr-FR"/>
              </w:rPr>
            </w:pPr>
          </w:p>
          <w:p w14:paraId="1EABD545" w14:textId="4725E8CA" w:rsidR="00CF72FE" w:rsidRPr="00BD3D80" w:rsidRDefault="00CF72FE" w:rsidP="00FF497B">
            <w:pPr>
              <w:pStyle w:val="ListParagraph"/>
              <w:numPr>
                <w:ilvl w:val="0"/>
                <w:numId w:val="19"/>
              </w:numPr>
              <w:ind w:left="459"/>
              <w:jc w:val="left"/>
              <w:rPr>
                <w:rFonts w:eastAsia="Times New Roman" w:cs="Arial"/>
                <w:color w:val="000000"/>
                <w:sz w:val="20"/>
                <w:szCs w:val="20"/>
                <w:lang w:val="fr-FR"/>
              </w:rPr>
            </w:pPr>
            <w:r>
              <w:rPr>
                <w:rFonts w:eastAsia="Times New Roman" w:cs="Arial"/>
                <w:color w:val="000000"/>
                <w:sz w:val="20"/>
                <w:szCs w:val="20"/>
                <w:lang w:val="fr-FR"/>
              </w:rPr>
              <w:t>Augmentation du nombre d</w:t>
            </w:r>
            <w:r w:rsidR="002C54BD">
              <w:rPr>
                <w:rFonts w:eastAsia="Times New Roman" w:cs="Arial"/>
                <w:color w:val="000000"/>
                <w:sz w:val="20"/>
                <w:szCs w:val="20"/>
                <w:lang w:val="fr-FR"/>
              </w:rPr>
              <w:t>’</w:t>
            </w:r>
            <w:r>
              <w:rPr>
                <w:rFonts w:eastAsia="Times New Roman" w:cs="Arial"/>
                <w:color w:val="000000"/>
                <w:sz w:val="20"/>
                <w:szCs w:val="20"/>
                <w:lang w:val="fr-FR"/>
              </w:rPr>
              <w:t xml:space="preserve">institutions ayant des </w:t>
            </w:r>
            <w:r w:rsidR="00401E46">
              <w:rPr>
                <w:rFonts w:eastAsia="Times New Roman" w:cs="Arial"/>
                <w:color w:val="000000"/>
                <w:sz w:val="20"/>
                <w:szCs w:val="20"/>
                <w:lang w:val="fr-FR"/>
              </w:rPr>
              <w:t xml:space="preserve">cibles </w:t>
            </w:r>
            <w:r>
              <w:rPr>
                <w:rFonts w:eastAsia="Times New Roman" w:cs="Arial"/>
                <w:color w:val="000000"/>
                <w:sz w:val="20"/>
                <w:szCs w:val="20"/>
                <w:lang w:val="fr-FR"/>
              </w:rPr>
              <w:t>SMART en matière de nutrition qui partagent/évaluent les progrès (mesurés comme suit</w:t>
            </w:r>
            <w:r w:rsidR="002C54BD">
              <w:rPr>
                <w:rFonts w:eastAsia="Times New Roman" w:cs="Arial"/>
                <w:color w:val="000000"/>
                <w:sz w:val="20"/>
                <w:szCs w:val="20"/>
                <w:lang w:val="fr-FR"/>
              </w:rPr>
              <w:t> </w:t>
            </w:r>
            <w:r>
              <w:rPr>
                <w:rFonts w:eastAsia="Times New Roman" w:cs="Arial"/>
                <w:color w:val="000000"/>
                <w:sz w:val="20"/>
                <w:szCs w:val="20"/>
                <w:lang w:val="fr-FR"/>
              </w:rPr>
              <w:t xml:space="preserve">: </w:t>
            </w:r>
            <w:r w:rsidR="00DE7806">
              <w:rPr>
                <w:rFonts w:eastAsia="Times New Roman" w:cs="Arial"/>
                <w:color w:val="000000"/>
                <w:sz w:val="20"/>
                <w:szCs w:val="20"/>
                <w:lang w:val="fr-FR"/>
              </w:rPr>
              <w:t>n</w:t>
            </w:r>
            <w:r>
              <w:rPr>
                <w:rFonts w:eastAsia="Times New Roman" w:cs="Arial"/>
                <w:color w:val="000000"/>
                <w:sz w:val="20"/>
                <w:szCs w:val="20"/>
                <w:lang w:val="fr-FR"/>
              </w:rPr>
              <w:t>ombre et type d</w:t>
            </w:r>
            <w:r w:rsidR="002C54BD">
              <w:rPr>
                <w:rFonts w:eastAsia="Times New Roman" w:cs="Arial"/>
                <w:color w:val="000000"/>
                <w:sz w:val="20"/>
                <w:szCs w:val="20"/>
                <w:lang w:val="fr-FR"/>
              </w:rPr>
              <w:t>’</w:t>
            </w:r>
            <w:r>
              <w:rPr>
                <w:rFonts w:eastAsia="Times New Roman" w:cs="Arial"/>
                <w:color w:val="000000"/>
                <w:sz w:val="20"/>
                <w:szCs w:val="20"/>
                <w:lang w:val="fr-FR"/>
              </w:rPr>
              <w:t xml:space="preserve">institutions ayant des </w:t>
            </w:r>
            <w:r w:rsidR="00401E46">
              <w:rPr>
                <w:rFonts w:eastAsia="Times New Roman" w:cs="Arial"/>
                <w:color w:val="000000"/>
                <w:sz w:val="20"/>
                <w:szCs w:val="20"/>
                <w:lang w:val="fr-FR"/>
              </w:rPr>
              <w:t xml:space="preserve">cibles </w:t>
            </w:r>
            <w:r>
              <w:rPr>
                <w:rFonts w:eastAsia="Times New Roman" w:cs="Arial"/>
                <w:color w:val="000000"/>
                <w:sz w:val="20"/>
                <w:szCs w:val="20"/>
                <w:lang w:val="fr-FR"/>
              </w:rPr>
              <w:t>nutritionnel</w:t>
            </w:r>
            <w:r w:rsidR="00401E46">
              <w:rPr>
                <w:rFonts w:eastAsia="Times New Roman" w:cs="Arial"/>
                <w:color w:val="000000"/>
                <w:sz w:val="20"/>
                <w:szCs w:val="20"/>
                <w:lang w:val="fr-FR"/>
              </w:rPr>
              <w:t>le</w:t>
            </w:r>
            <w:r>
              <w:rPr>
                <w:rFonts w:eastAsia="Times New Roman" w:cs="Arial"/>
                <w:color w:val="000000"/>
                <w:sz w:val="20"/>
                <w:szCs w:val="20"/>
                <w:lang w:val="fr-FR"/>
              </w:rPr>
              <w:t>s SMART et un rapport d</w:t>
            </w:r>
            <w:r w:rsidR="002C54BD">
              <w:rPr>
                <w:rFonts w:eastAsia="Times New Roman" w:cs="Arial"/>
                <w:color w:val="000000"/>
                <w:sz w:val="20"/>
                <w:szCs w:val="20"/>
                <w:lang w:val="fr-FR"/>
              </w:rPr>
              <w:t>’</w:t>
            </w:r>
            <w:r>
              <w:rPr>
                <w:rFonts w:eastAsia="Times New Roman" w:cs="Arial"/>
                <w:color w:val="000000"/>
                <w:sz w:val="20"/>
                <w:szCs w:val="20"/>
                <w:lang w:val="fr-FR"/>
              </w:rPr>
              <w:t>avancement</w:t>
            </w:r>
            <w:r w:rsidR="002C54BD">
              <w:rPr>
                <w:rFonts w:eastAsia="Times New Roman" w:cs="Arial"/>
                <w:color w:val="000000"/>
                <w:sz w:val="20"/>
                <w:szCs w:val="20"/>
                <w:lang w:val="fr-FR"/>
              </w:rPr>
              <w:t> </w:t>
            </w:r>
            <w:r>
              <w:rPr>
                <w:rFonts w:eastAsia="Times New Roman" w:cs="Arial"/>
                <w:color w:val="000000"/>
                <w:sz w:val="20"/>
                <w:szCs w:val="20"/>
                <w:lang w:val="fr-FR"/>
              </w:rPr>
              <w:t>; nombre d</w:t>
            </w:r>
            <w:r w:rsidR="002C54BD">
              <w:rPr>
                <w:rFonts w:eastAsia="Times New Roman" w:cs="Arial"/>
                <w:color w:val="000000"/>
                <w:sz w:val="20"/>
                <w:szCs w:val="20"/>
                <w:lang w:val="fr-FR"/>
              </w:rPr>
              <w:t>’</w:t>
            </w:r>
            <w:r>
              <w:rPr>
                <w:rFonts w:eastAsia="Times New Roman" w:cs="Arial"/>
                <w:color w:val="000000"/>
                <w:sz w:val="20"/>
                <w:szCs w:val="20"/>
                <w:lang w:val="fr-FR"/>
              </w:rPr>
              <w:t>événements publics où les progrès ont été partagés pour discussion/examen/planification)</w:t>
            </w:r>
          </w:p>
          <w:p w14:paraId="412185C4" w14:textId="77777777" w:rsidR="00A11707" w:rsidRPr="00BD3D80" w:rsidRDefault="00A11707" w:rsidP="00FF497B">
            <w:pPr>
              <w:pStyle w:val="ListParagraph"/>
              <w:jc w:val="left"/>
              <w:rPr>
                <w:rFonts w:eastAsia="Times New Roman" w:cs="Arial"/>
                <w:color w:val="000000"/>
                <w:sz w:val="20"/>
                <w:szCs w:val="20"/>
                <w:lang w:val="fr-FR"/>
              </w:rPr>
            </w:pPr>
          </w:p>
          <w:p w14:paraId="3756012D" w14:textId="4A77BC4A" w:rsidR="00A11707" w:rsidRPr="00BD3D80" w:rsidRDefault="00A11707" w:rsidP="00FF497B">
            <w:pPr>
              <w:pStyle w:val="ListParagraph"/>
              <w:numPr>
                <w:ilvl w:val="0"/>
                <w:numId w:val="19"/>
              </w:numPr>
              <w:jc w:val="left"/>
              <w:rPr>
                <w:rFonts w:eastAsia="Times New Roman" w:cs="Arial"/>
                <w:color w:val="000000"/>
                <w:sz w:val="20"/>
                <w:szCs w:val="20"/>
                <w:lang w:val="fr-FR"/>
              </w:rPr>
            </w:pPr>
            <w:r>
              <w:rPr>
                <w:rFonts w:eastAsia="Times New Roman" w:cs="Arial"/>
                <w:color w:val="000000"/>
                <w:sz w:val="20"/>
                <w:szCs w:val="20"/>
                <w:lang w:val="fr-FR"/>
              </w:rPr>
              <w:t xml:space="preserve">Nombre de mécanismes </w:t>
            </w:r>
            <w:r w:rsidR="00BF12DB">
              <w:rPr>
                <w:rFonts w:eastAsia="Times New Roman" w:cs="Arial"/>
                <w:color w:val="000000"/>
                <w:sz w:val="20"/>
                <w:szCs w:val="20"/>
                <w:lang w:val="fr-FR"/>
              </w:rPr>
              <w:t xml:space="preserve">de révision </w:t>
            </w:r>
            <w:r>
              <w:rPr>
                <w:rFonts w:eastAsia="Times New Roman" w:cs="Arial"/>
                <w:color w:val="000000"/>
                <w:sz w:val="20"/>
                <w:szCs w:val="20"/>
                <w:lang w:val="fr-FR"/>
              </w:rPr>
              <w:t>nationaux</w:t>
            </w:r>
            <w:r w:rsidR="00C26CAB">
              <w:rPr>
                <w:rFonts w:eastAsia="Times New Roman" w:cs="Arial"/>
                <w:color w:val="000000"/>
                <w:sz w:val="20"/>
                <w:szCs w:val="20"/>
                <w:lang w:val="fr-FR"/>
              </w:rPr>
              <w:t xml:space="preserve"> </w:t>
            </w:r>
            <w:r>
              <w:rPr>
                <w:rFonts w:eastAsia="Times New Roman" w:cs="Arial"/>
                <w:color w:val="000000"/>
                <w:sz w:val="20"/>
                <w:szCs w:val="20"/>
                <w:lang w:val="fr-FR"/>
              </w:rPr>
              <w:t>(par ex</w:t>
            </w:r>
            <w:r w:rsidR="002C54BD">
              <w:rPr>
                <w:rFonts w:eastAsia="Times New Roman" w:cs="Arial"/>
                <w:color w:val="000000"/>
                <w:sz w:val="20"/>
                <w:szCs w:val="20"/>
                <w:lang w:val="fr-FR"/>
              </w:rPr>
              <w:t> </w:t>
            </w:r>
            <w:r>
              <w:rPr>
                <w:rFonts w:eastAsia="Times New Roman" w:cs="Arial"/>
                <w:color w:val="000000"/>
                <w:sz w:val="20"/>
                <w:szCs w:val="20"/>
                <w:lang w:val="fr-FR"/>
              </w:rPr>
              <w:t xml:space="preserve">: </w:t>
            </w:r>
            <w:r w:rsidR="001E76D4">
              <w:rPr>
                <w:rFonts w:eastAsia="Times New Roman" w:cs="Arial"/>
                <w:color w:val="000000"/>
                <w:sz w:val="20"/>
                <w:szCs w:val="20"/>
                <w:lang w:val="fr-FR"/>
              </w:rPr>
              <w:t>participation au</w:t>
            </w:r>
            <w:r>
              <w:rPr>
                <w:rFonts w:eastAsia="Times New Roman" w:cs="Arial"/>
                <w:color w:val="000000"/>
                <w:sz w:val="20"/>
                <w:szCs w:val="20"/>
                <w:lang w:val="fr-FR"/>
              </w:rPr>
              <w:t xml:space="preserve"> processus de révision nationale des ODD) </w:t>
            </w:r>
            <w:r w:rsidR="00401E46">
              <w:rPr>
                <w:rFonts w:eastAsia="Times New Roman" w:cs="Arial"/>
                <w:color w:val="000000"/>
                <w:sz w:val="20"/>
                <w:szCs w:val="20"/>
                <w:lang w:val="fr-FR"/>
              </w:rPr>
              <w:t>auxquels</w:t>
            </w:r>
            <w:r>
              <w:rPr>
                <w:rFonts w:eastAsia="Times New Roman" w:cs="Arial"/>
                <w:color w:val="000000"/>
                <w:sz w:val="20"/>
                <w:szCs w:val="20"/>
                <w:lang w:val="fr-FR"/>
              </w:rPr>
              <w:t xml:space="preserve"> les </w:t>
            </w:r>
            <w:r w:rsidR="001E76D4">
              <w:rPr>
                <w:rFonts w:eastAsia="Times New Roman" w:cs="Arial"/>
                <w:color w:val="000000"/>
                <w:sz w:val="20"/>
                <w:szCs w:val="20"/>
                <w:lang w:val="fr-FR"/>
              </w:rPr>
              <w:t>ASC</w:t>
            </w:r>
            <w:r>
              <w:rPr>
                <w:rFonts w:eastAsia="Times New Roman" w:cs="Arial"/>
                <w:color w:val="000000"/>
                <w:sz w:val="20"/>
                <w:szCs w:val="20"/>
                <w:lang w:val="fr-FR"/>
              </w:rPr>
              <w:t xml:space="preserve"> du </w:t>
            </w:r>
            <w:r w:rsidR="001E76D4">
              <w:rPr>
                <w:rFonts w:eastAsia="Times New Roman" w:cs="Arial"/>
                <w:color w:val="000000"/>
                <w:sz w:val="20"/>
                <w:szCs w:val="20"/>
                <w:lang w:val="fr-FR"/>
              </w:rPr>
              <w:t xml:space="preserve">Mouvement </w:t>
            </w:r>
            <w:r>
              <w:rPr>
                <w:rFonts w:eastAsia="Times New Roman" w:cs="Arial"/>
                <w:color w:val="000000"/>
                <w:sz w:val="20"/>
                <w:szCs w:val="20"/>
                <w:lang w:val="fr-FR"/>
              </w:rPr>
              <w:t>SUN ont participé et fourni des contributions de qualité (</w:t>
            </w:r>
            <w:r w:rsidR="00BB74DB">
              <w:rPr>
                <w:rFonts w:eastAsia="Times New Roman" w:cs="Arial"/>
                <w:color w:val="000000"/>
                <w:sz w:val="20"/>
                <w:szCs w:val="20"/>
                <w:lang w:val="fr-FR"/>
              </w:rPr>
              <w:t>fonds communs</w:t>
            </w:r>
            <w:r>
              <w:rPr>
                <w:rFonts w:eastAsia="Times New Roman" w:cs="Arial"/>
                <w:color w:val="000000"/>
                <w:sz w:val="20"/>
                <w:szCs w:val="20"/>
                <w:lang w:val="fr-FR"/>
              </w:rPr>
              <w:t xml:space="preserve"> Produit</w:t>
            </w:r>
            <w:r w:rsidR="002C54BD">
              <w:rPr>
                <w:rFonts w:eastAsia="Times New Roman" w:cs="Arial"/>
                <w:color w:val="000000"/>
                <w:sz w:val="20"/>
                <w:szCs w:val="20"/>
                <w:lang w:val="fr-FR"/>
              </w:rPr>
              <w:t> </w:t>
            </w:r>
            <w:r>
              <w:rPr>
                <w:rFonts w:eastAsia="Times New Roman" w:cs="Arial"/>
                <w:color w:val="000000"/>
                <w:sz w:val="20"/>
                <w:szCs w:val="20"/>
                <w:lang w:val="fr-FR"/>
              </w:rPr>
              <w:t>3.2.2)</w:t>
            </w:r>
          </w:p>
          <w:p w14:paraId="672F4A15" w14:textId="77777777" w:rsidR="00ED2F58" w:rsidRPr="00BD3D80" w:rsidRDefault="00ED2F58" w:rsidP="00FF497B">
            <w:pPr>
              <w:pStyle w:val="ListParagraph"/>
              <w:jc w:val="left"/>
              <w:rPr>
                <w:rFonts w:eastAsia="Times New Roman" w:cs="Arial"/>
                <w:color w:val="000000"/>
                <w:sz w:val="20"/>
                <w:szCs w:val="20"/>
                <w:lang w:val="fr-FR"/>
              </w:rPr>
            </w:pPr>
          </w:p>
          <w:p w14:paraId="57DB8BD7" w14:textId="74D869A6" w:rsidR="00ED2F58" w:rsidRPr="00BD3D80" w:rsidRDefault="001E76D4" w:rsidP="00FF497B">
            <w:pPr>
              <w:pStyle w:val="ListParagraph"/>
              <w:numPr>
                <w:ilvl w:val="0"/>
                <w:numId w:val="19"/>
              </w:numPr>
              <w:jc w:val="left"/>
              <w:rPr>
                <w:rFonts w:eastAsia="Times New Roman" w:cs="Arial"/>
                <w:color w:val="000000"/>
                <w:sz w:val="20"/>
                <w:szCs w:val="20"/>
                <w:lang w:val="fr-FR"/>
              </w:rPr>
            </w:pPr>
            <w:r>
              <w:rPr>
                <w:rFonts w:eastAsia="Times New Roman" w:cs="Arial"/>
                <w:color w:val="000000"/>
                <w:sz w:val="20"/>
                <w:szCs w:val="20"/>
                <w:lang w:val="fr-FR"/>
              </w:rPr>
              <w:t>Développement d’u</w:t>
            </w:r>
            <w:r w:rsidR="00ED2F58">
              <w:rPr>
                <w:rFonts w:eastAsia="Times New Roman" w:cs="Arial"/>
                <w:color w:val="000000"/>
                <w:sz w:val="20"/>
                <w:szCs w:val="20"/>
                <w:lang w:val="fr-FR"/>
              </w:rPr>
              <w:t xml:space="preserve">n mécanisme de redevabilité </w:t>
            </w:r>
            <w:r>
              <w:rPr>
                <w:rFonts w:eastAsia="Times New Roman" w:cs="Arial"/>
                <w:color w:val="000000"/>
                <w:sz w:val="20"/>
                <w:szCs w:val="20"/>
                <w:lang w:val="fr-FR"/>
              </w:rPr>
              <w:t>mondiale</w:t>
            </w:r>
            <w:r w:rsidR="00ED2F58">
              <w:rPr>
                <w:rFonts w:eastAsia="Times New Roman" w:cs="Arial"/>
                <w:color w:val="000000"/>
                <w:sz w:val="20"/>
                <w:szCs w:val="20"/>
                <w:lang w:val="fr-FR"/>
              </w:rPr>
              <w:t xml:space="preserve"> qui intègre les demandes </w:t>
            </w:r>
            <w:r>
              <w:rPr>
                <w:rFonts w:eastAsia="Times New Roman" w:cs="Arial"/>
                <w:color w:val="000000"/>
                <w:sz w:val="20"/>
                <w:szCs w:val="20"/>
                <w:lang w:val="fr-FR"/>
              </w:rPr>
              <w:t>des RSC</w:t>
            </w:r>
          </w:p>
          <w:p w14:paraId="1C90ABB2" w14:textId="77777777" w:rsidR="00ED2F58" w:rsidRPr="00BD3D80" w:rsidRDefault="00ED2F58" w:rsidP="00FF497B">
            <w:pPr>
              <w:rPr>
                <w:rFonts w:eastAsia="Times New Roman" w:cs="Arial"/>
                <w:color w:val="000000"/>
                <w:sz w:val="20"/>
                <w:szCs w:val="20"/>
                <w:lang w:val="fr-FR"/>
              </w:rPr>
            </w:pPr>
          </w:p>
          <w:p w14:paraId="7517976A" w14:textId="77777777" w:rsidR="00ED2F58" w:rsidRPr="00BD3D80" w:rsidRDefault="00ED2F58" w:rsidP="00FF497B">
            <w:pPr>
              <w:rPr>
                <w:rFonts w:eastAsia="Times New Roman" w:cs="Arial"/>
                <w:color w:val="000000"/>
                <w:sz w:val="20"/>
                <w:szCs w:val="20"/>
                <w:lang w:val="fr-FR"/>
              </w:rPr>
            </w:pPr>
          </w:p>
          <w:p w14:paraId="2518AFDA" w14:textId="78876457" w:rsidR="00ED2F58" w:rsidRPr="00BD3D80" w:rsidRDefault="00DE7806" w:rsidP="00FF497B">
            <w:pPr>
              <w:pStyle w:val="ListParagraph"/>
              <w:numPr>
                <w:ilvl w:val="0"/>
                <w:numId w:val="19"/>
              </w:numPr>
              <w:jc w:val="left"/>
              <w:rPr>
                <w:rFonts w:eastAsia="Times New Roman" w:cs="Arial"/>
                <w:color w:val="000000"/>
                <w:sz w:val="20"/>
                <w:szCs w:val="20"/>
                <w:lang w:val="fr-FR"/>
              </w:rPr>
            </w:pPr>
            <w:r>
              <w:rPr>
                <w:rFonts w:eastAsia="Times New Roman" w:cs="Arial"/>
                <w:color w:val="000000"/>
                <w:sz w:val="20"/>
                <w:szCs w:val="20"/>
                <w:lang w:val="fr-FR"/>
              </w:rPr>
              <w:t>N</w:t>
            </w:r>
            <w:r w:rsidR="00ED2F58">
              <w:rPr>
                <w:rFonts w:eastAsia="Times New Roman" w:cs="Arial"/>
                <w:color w:val="000000"/>
                <w:sz w:val="20"/>
                <w:szCs w:val="20"/>
                <w:lang w:val="fr-FR"/>
              </w:rPr>
              <w:t>ombre d</w:t>
            </w:r>
            <w:r w:rsidR="002C54BD">
              <w:rPr>
                <w:rFonts w:eastAsia="Times New Roman" w:cs="Arial"/>
                <w:color w:val="000000"/>
                <w:sz w:val="20"/>
                <w:szCs w:val="20"/>
                <w:lang w:val="fr-FR"/>
              </w:rPr>
              <w:t>’</w:t>
            </w:r>
            <w:r w:rsidR="00ED2F58">
              <w:rPr>
                <w:rFonts w:eastAsia="Times New Roman" w:cs="Arial"/>
                <w:color w:val="000000"/>
                <w:sz w:val="20"/>
                <w:szCs w:val="20"/>
                <w:lang w:val="fr-FR"/>
              </w:rPr>
              <w:t xml:space="preserve">autres réseaux sectoriels qui font de plus en plus référence à la nutrition en raison des contributions du </w:t>
            </w:r>
            <w:r w:rsidR="00716DEB">
              <w:rPr>
                <w:rFonts w:eastAsia="Times New Roman" w:cs="Arial"/>
                <w:color w:val="000000"/>
                <w:sz w:val="20"/>
                <w:szCs w:val="20"/>
                <w:lang w:val="fr-FR"/>
              </w:rPr>
              <w:t xml:space="preserve">Réseau de la société civile </w:t>
            </w:r>
            <w:r w:rsidR="00ED2F58">
              <w:rPr>
                <w:rFonts w:eastAsia="Times New Roman" w:cs="Arial"/>
                <w:color w:val="000000"/>
                <w:sz w:val="20"/>
                <w:szCs w:val="20"/>
                <w:lang w:val="fr-FR"/>
              </w:rPr>
              <w:t xml:space="preserve">SUN, au niveau mondial </w:t>
            </w:r>
          </w:p>
          <w:p w14:paraId="3F1EF8DD" w14:textId="77777777" w:rsidR="00ED2F58" w:rsidRPr="00BD3D80" w:rsidRDefault="00ED2F58" w:rsidP="00FF497B">
            <w:pPr>
              <w:rPr>
                <w:rFonts w:eastAsia="Times New Roman" w:cs="Arial"/>
                <w:color w:val="000000"/>
                <w:sz w:val="20"/>
                <w:szCs w:val="20"/>
                <w:lang w:val="fr-FR"/>
              </w:rPr>
            </w:pPr>
          </w:p>
          <w:p w14:paraId="72BC4926" w14:textId="5AA998C1" w:rsidR="00ED2F58" w:rsidRPr="00BD3D80" w:rsidRDefault="00ED2F58" w:rsidP="00FF497B">
            <w:pPr>
              <w:rPr>
                <w:rFonts w:eastAsia="Times New Roman" w:cs="Arial"/>
                <w:color w:val="000000"/>
                <w:sz w:val="20"/>
                <w:szCs w:val="20"/>
                <w:lang w:val="fr-FR"/>
              </w:rPr>
            </w:pPr>
          </w:p>
        </w:tc>
      </w:tr>
      <w:tr w:rsidR="00CF72FE" w:rsidRPr="00880085" w14:paraId="70B67437" w14:textId="77777777" w:rsidTr="005D6077">
        <w:tc>
          <w:tcPr>
            <w:tcW w:w="4957" w:type="dxa"/>
            <w:vAlign w:val="center"/>
          </w:tcPr>
          <w:p w14:paraId="43187AD7" w14:textId="675BA764" w:rsidR="00CF72FE" w:rsidRPr="00BD3D80" w:rsidRDefault="00C05D41" w:rsidP="00FF497B">
            <w:pPr>
              <w:rPr>
                <w:rFonts w:eastAsia="Times New Roman" w:cs="Arial"/>
                <w:color w:val="000000"/>
                <w:sz w:val="20"/>
                <w:szCs w:val="20"/>
                <w:lang w:val="fr-FR"/>
              </w:rPr>
            </w:pPr>
            <w:bookmarkStart w:id="23" w:name="_Hlk502938315"/>
            <w:r>
              <w:rPr>
                <w:rFonts w:eastAsia="Times New Roman" w:cs="Arial"/>
                <w:color w:val="000000"/>
                <w:sz w:val="20"/>
                <w:szCs w:val="20"/>
                <w:lang w:val="fr-FR"/>
              </w:rPr>
              <w:lastRenderedPageBreak/>
              <w:t xml:space="preserve">4.4 Le </w:t>
            </w:r>
            <w:r w:rsidR="00716DEB">
              <w:rPr>
                <w:rFonts w:eastAsia="Times New Roman" w:cs="Arial"/>
                <w:color w:val="000000"/>
                <w:sz w:val="20"/>
                <w:szCs w:val="20"/>
                <w:lang w:val="fr-FR"/>
              </w:rPr>
              <w:t xml:space="preserve">Réseau de la société civile </w:t>
            </w:r>
            <w:r w:rsidR="001E76D4">
              <w:rPr>
                <w:rFonts w:eastAsia="Times New Roman" w:cs="Arial"/>
                <w:color w:val="000000"/>
                <w:sz w:val="20"/>
                <w:szCs w:val="20"/>
                <w:lang w:val="fr-FR"/>
              </w:rPr>
              <w:t xml:space="preserve">du Mouvement </w:t>
            </w:r>
            <w:r>
              <w:rPr>
                <w:rFonts w:eastAsia="Times New Roman" w:cs="Arial"/>
                <w:color w:val="000000"/>
                <w:sz w:val="20"/>
                <w:szCs w:val="20"/>
                <w:lang w:val="fr-FR"/>
              </w:rPr>
              <w:t xml:space="preserve">SUN fonctionne efficacement et a mis en place une structure de gouvernance et des processus clairs pour soutenir les </w:t>
            </w:r>
            <w:bookmarkEnd w:id="23"/>
            <w:r w:rsidR="001E76D4">
              <w:rPr>
                <w:rFonts w:eastAsia="Times New Roman" w:cs="Arial"/>
                <w:color w:val="000000"/>
                <w:sz w:val="20"/>
                <w:szCs w:val="20"/>
                <w:lang w:val="fr-FR"/>
              </w:rPr>
              <w:t>ASC</w:t>
            </w:r>
          </w:p>
        </w:tc>
        <w:tc>
          <w:tcPr>
            <w:tcW w:w="4961" w:type="dxa"/>
          </w:tcPr>
          <w:p w14:paraId="63D20994" w14:textId="3FABB9CA" w:rsidR="00CF72FE" w:rsidRPr="00BD3D80" w:rsidRDefault="00CF72FE" w:rsidP="00FF497B">
            <w:pPr>
              <w:pStyle w:val="ListParagraph"/>
              <w:numPr>
                <w:ilvl w:val="0"/>
                <w:numId w:val="20"/>
              </w:numPr>
              <w:jc w:val="left"/>
              <w:rPr>
                <w:rFonts w:eastAsia="Times New Roman" w:cs="Arial"/>
                <w:sz w:val="20"/>
                <w:szCs w:val="20"/>
                <w:lang w:val="fr-FR"/>
              </w:rPr>
            </w:pPr>
            <w:r>
              <w:rPr>
                <w:rFonts w:eastAsia="Times New Roman" w:cs="Arial"/>
                <w:color w:val="000000"/>
                <w:sz w:val="20"/>
                <w:szCs w:val="20"/>
                <w:lang w:val="fr-FR"/>
              </w:rPr>
              <w:t xml:space="preserve">Amélioration de la </w:t>
            </w:r>
            <w:r w:rsidR="001E76D4">
              <w:rPr>
                <w:rFonts w:eastAsia="Times New Roman" w:cs="Arial"/>
                <w:color w:val="000000"/>
                <w:sz w:val="20"/>
                <w:szCs w:val="20"/>
                <w:lang w:val="fr-FR"/>
              </w:rPr>
              <w:t>note</w:t>
            </w:r>
            <w:r>
              <w:rPr>
                <w:rFonts w:eastAsia="Times New Roman" w:cs="Arial"/>
                <w:color w:val="000000"/>
                <w:sz w:val="20"/>
                <w:szCs w:val="20"/>
                <w:lang w:val="fr-FR"/>
              </w:rPr>
              <w:t xml:space="preserve"> </w:t>
            </w:r>
            <w:r w:rsidR="001E76D4">
              <w:rPr>
                <w:rFonts w:eastAsia="Times New Roman" w:cs="Arial"/>
                <w:color w:val="000000"/>
                <w:sz w:val="20"/>
                <w:szCs w:val="20"/>
                <w:lang w:val="fr-FR"/>
              </w:rPr>
              <w:t xml:space="preserve">des RSC </w:t>
            </w:r>
            <w:r>
              <w:rPr>
                <w:rFonts w:eastAsia="Times New Roman" w:cs="Arial"/>
                <w:color w:val="000000"/>
                <w:sz w:val="20"/>
                <w:szCs w:val="20"/>
                <w:lang w:val="fr-FR"/>
              </w:rPr>
              <w:t>en matière de gouvernance (voir not</w:t>
            </w:r>
            <w:r w:rsidR="001E76D4">
              <w:rPr>
                <w:rFonts w:eastAsia="Times New Roman" w:cs="Arial"/>
                <w:color w:val="000000"/>
                <w:sz w:val="20"/>
                <w:szCs w:val="20"/>
                <w:lang w:val="fr-FR"/>
              </w:rPr>
              <w:t>e</w:t>
            </w:r>
            <w:r>
              <w:rPr>
                <w:rFonts w:eastAsia="Times New Roman" w:cs="Arial"/>
                <w:color w:val="000000"/>
                <w:sz w:val="20"/>
                <w:szCs w:val="20"/>
                <w:lang w:val="fr-FR"/>
              </w:rPr>
              <w:t xml:space="preserve"> de gouvernance d</w:t>
            </w:r>
            <w:r w:rsidR="001E76D4">
              <w:rPr>
                <w:rFonts w:eastAsia="Times New Roman" w:cs="Arial"/>
                <w:color w:val="000000"/>
                <w:sz w:val="20"/>
                <w:szCs w:val="20"/>
                <w:lang w:val="fr-FR"/>
              </w:rPr>
              <w:t>es</w:t>
            </w:r>
            <w:r>
              <w:rPr>
                <w:rFonts w:eastAsia="Times New Roman" w:cs="Arial"/>
                <w:color w:val="000000"/>
                <w:sz w:val="20"/>
                <w:szCs w:val="20"/>
                <w:lang w:val="fr-FR"/>
              </w:rPr>
              <w:t xml:space="preserve"> RSC)</w:t>
            </w:r>
            <w:r w:rsidR="00FF497B">
              <w:rPr>
                <w:rFonts w:eastAsia="Times New Roman" w:cs="Arial"/>
                <w:color w:val="000000"/>
                <w:sz w:val="20"/>
                <w:szCs w:val="20"/>
                <w:lang w:val="fr-FR"/>
              </w:rPr>
              <w:t xml:space="preserve">, </w:t>
            </w:r>
            <w:r>
              <w:rPr>
                <w:rFonts w:eastAsia="Times New Roman" w:cs="Arial"/>
                <w:color w:val="000000"/>
                <w:sz w:val="20"/>
                <w:szCs w:val="20"/>
                <w:lang w:val="fr-FR"/>
              </w:rPr>
              <w:t>y compris intégration de la dimension de genre</w:t>
            </w:r>
          </w:p>
          <w:p w14:paraId="41463C63" w14:textId="0A718AD0" w:rsidR="00ED2F58" w:rsidRPr="00BD3D80" w:rsidRDefault="00ED2F58" w:rsidP="00FF497B">
            <w:pPr>
              <w:pStyle w:val="ListParagraph"/>
              <w:numPr>
                <w:ilvl w:val="0"/>
                <w:numId w:val="20"/>
              </w:numPr>
              <w:jc w:val="left"/>
              <w:rPr>
                <w:rFonts w:eastAsia="Times New Roman" w:cs="Arial"/>
                <w:sz w:val="20"/>
                <w:szCs w:val="20"/>
                <w:lang w:val="fr-FR"/>
              </w:rPr>
            </w:pPr>
            <w:r>
              <w:rPr>
                <w:rFonts w:eastAsia="Times New Roman" w:cs="Arial"/>
                <w:sz w:val="20"/>
                <w:szCs w:val="20"/>
                <w:lang w:val="fr-FR"/>
              </w:rPr>
              <w:t xml:space="preserve">Plan de collecte de fonds </w:t>
            </w:r>
            <w:r w:rsidRPr="00325D8D">
              <w:rPr>
                <w:rFonts w:eastAsia="Times New Roman" w:cs="Arial"/>
                <w:i/>
                <w:iCs/>
                <w:sz w:val="20"/>
                <w:szCs w:val="20"/>
                <w:lang w:val="fr-FR"/>
              </w:rPr>
              <w:t>in situ</w:t>
            </w:r>
            <w:r>
              <w:rPr>
                <w:rFonts w:eastAsia="Times New Roman" w:cs="Arial"/>
                <w:sz w:val="20"/>
                <w:szCs w:val="20"/>
                <w:lang w:val="fr-FR"/>
              </w:rPr>
              <w:t xml:space="preserve"> pour assurer la pérennité du secrétariat </w:t>
            </w:r>
          </w:p>
          <w:p w14:paraId="1D2D5F87" w14:textId="44C041BE" w:rsidR="00ED2F58" w:rsidRPr="00BD3D80" w:rsidRDefault="00ED2F58" w:rsidP="00FF497B">
            <w:pPr>
              <w:pStyle w:val="ListParagraph"/>
              <w:numPr>
                <w:ilvl w:val="0"/>
                <w:numId w:val="20"/>
              </w:numPr>
              <w:jc w:val="left"/>
              <w:rPr>
                <w:rFonts w:eastAsia="Times New Roman" w:cs="Arial"/>
                <w:sz w:val="20"/>
                <w:szCs w:val="20"/>
                <w:lang w:val="fr-FR"/>
              </w:rPr>
            </w:pPr>
            <w:r>
              <w:rPr>
                <w:rFonts w:eastAsia="Times New Roman" w:cs="Arial"/>
                <w:sz w:val="20"/>
                <w:szCs w:val="20"/>
                <w:lang w:val="fr-FR"/>
              </w:rPr>
              <w:t>Les processus de gouvernance (renouvellement et termes de référence) sont respectés</w:t>
            </w:r>
          </w:p>
        </w:tc>
      </w:tr>
      <w:tr w:rsidR="005E752C" w:rsidRPr="00880085" w14:paraId="55CD623D" w14:textId="77777777" w:rsidTr="005D6077">
        <w:tc>
          <w:tcPr>
            <w:tcW w:w="4957" w:type="dxa"/>
            <w:vAlign w:val="center"/>
          </w:tcPr>
          <w:p w14:paraId="22954856" w14:textId="3A034922" w:rsidR="005E752C" w:rsidRPr="00BD3D80" w:rsidRDefault="00C05D41" w:rsidP="00FF497B">
            <w:pPr>
              <w:rPr>
                <w:rFonts w:eastAsia="Times New Roman" w:cs="Arial"/>
                <w:color w:val="000000"/>
                <w:sz w:val="20"/>
                <w:szCs w:val="20"/>
                <w:lang w:val="fr-FR"/>
              </w:rPr>
            </w:pPr>
            <w:bookmarkStart w:id="24" w:name="_Hlk502938320"/>
            <w:r>
              <w:rPr>
                <w:rFonts w:eastAsia="Times New Roman" w:cs="Arial"/>
                <w:color w:val="000000"/>
                <w:sz w:val="20"/>
                <w:szCs w:val="20"/>
                <w:lang w:val="fr-FR"/>
              </w:rPr>
              <w:t>4.5.</w:t>
            </w:r>
            <w:r w:rsidR="00C26CAB">
              <w:rPr>
                <w:rFonts w:eastAsia="Times New Roman" w:cs="Arial"/>
                <w:color w:val="000000"/>
                <w:sz w:val="20"/>
                <w:szCs w:val="20"/>
                <w:lang w:val="fr-FR"/>
              </w:rPr>
              <w:t xml:space="preserve"> </w:t>
            </w:r>
            <w:r>
              <w:rPr>
                <w:rFonts w:eastAsia="Times New Roman" w:cs="Arial"/>
                <w:color w:val="000000"/>
                <w:sz w:val="20"/>
                <w:szCs w:val="20"/>
                <w:lang w:val="fr-FR"/>
              </w:rPr>
              <w:t xml:space="preserve">Les </w:t>
            </w:r>
            <w:r w:rsidR="001E76D4">
              <w:rPr>
                <w:rFonts w:eastAsia="Times New Roman" w:cs="Arial"/>
                <w:color w:val="000000"/>
                <w:sz w:val="20"/>
                <w:szCs w:val="20"/>
                <w:lang w:val="fr-FR"/>
              </w:rPr>
              <w:t>ASC</w:t>
            </w:r>
            <w:r>
              <w:rPr>
                <w:rFonts w:eastAsia="Times New Roman" w:cs="Arial"/>
                <w:color w:val="000000"/>
                <w:sz w:val="20"/>
                <w:szCs w:val="20"/>
                <w:lang w:val="fr-FR"/>
              </w:rPr>
              <w:t xml:space="preserve"> </w:t>
            </w:r>
            <w:r w:rsidR="001E76D4">
              <w:rPr>
                <w:rFonts w:eastAsia="Times New Roman" w:cs="Arial"/>
                <w:color w:val="000000"/>
                <w:sz w:val="20"/>
                <w:szCs w:val="20"/>
                <w:lang w:val="fr-FR"/>
              </w:rPr>
              <w:t xml:space="preserve">du Mouvement </w:t>
            </w:r>
            <w:r>
              <w:rPr>
                <w:rFonts w:eastAsia="Times New Roman" w:cs="Arial"/>
                <w:color w:val="000000"/>
                <w:sz w:val="20"/>
                <w:szCs w:val="20"/>
                <w:lang w:val="fr-FR"/>
              </w:rPr>
              <w:t>SUN fonctionnent efficacement grâce à une structure de gouvernance solide et à un financement durable assuré</w:t>
            </w:r>
            <w:bookmarkEnd w:id="24"/>
          </w:p>
        </w:tc>
        <w:tc>
          <w:tcPr>
            <w:tcW w:w="4961" w:type="dxa"/>
          </w:tcPr>
          <w:p w14:paraId="0DC07768" w14:textId="43A2997B" w:rsidR="005E752C" w:rsidRPr="00BD3D80" w:rsidRDefault="00786C00" w:rsidP="00FF497B">
            <w:pPr>
              <w:pStyle w:val="ListParagraph"/>
              <w:numPr>
                <w:ilvl w:val="0"/>
                <w:numId w:val="20"/>
              </w:numPr>
              <w:jc w:val="left"/>
              <w:rPr>
                <w:rFonts w:eastAsia="Times New Roman" w:cs="Arial"/>
                <w:color w:val="000000"/>
                <w:sz w:val="20"/>
                <w:szCs w:val="20"/>
                <w:lang w:val="fr-FR"/>
              </w:rPr>
            </w:pPr>
            <w:r>
              <w:rPr>
                <w:rFonts w:eastAsia="Times New Roman" w:cs="Arial"/>
                <w:color w:val="000000"/>
                <w:sz w:val="20"/>
                <w:szCs w:val="20"/>
                <w:lang w:val="fr-FR"/>
              </w:rPr>
              <w:t>Amélioration de la not</w:t>
            </w:r>
            <w:r w:rsidR="001E76D4">
              <w:rPr>
                <w:rFonts w:eastAsia="Times New Roman" w:cs="Arial"/>
                <w:color w:val="000000"/>
                <w:sz w:val="20"/>
                <w:szCs w:val="20"/>
                <w:lang w:val="fr-FR"/>
              </w:rPr>
              <w:t>e</w:t>
            </w:r>
            <w:r>
              <w:rPr>
                <w:rFonts w:eastAsia="Times New Roman" w:cs="Arial"/>
                <w:color w:val="000000"/>
                <w:sz w:val="20"/>
                <w:szCs w:val="20"/>
                <w:lang w:val="fr-FR"/>
              </w:rPr>
              <w:t xml:space="preserve"> des </w:t>
            </w:r>
            <w:r w:rsidR="001E76D4">
              <w:rPr>
                <w:rFonts w:eastAsia="Times New Roman" w:cs="Arial"/>
                <w:color w:val="000000"/>
                <w:sz w:val="20"/>
                <w:szCs w:val="20"/>
                <w:lang w:val="fr-FR"/>
              </w:rPr>
              <w:t>ASC</w:t>
            </w:r>
            <w:r>
              <w:rPr>
                <w:rFonts w:eastAsia="Times New Roman" w:cs="Arial"/>
                <w:color w:val="000000"/>
                <w:sz w:val="20"/>
                <w:szCs w:val="20"/>
                <w:lang w:val="fr-FR"/>
              </w:rPr>
              <w:t xml:space="preserve"> en matière de gouvernance (voir indice de gouvernance des ASC) – y compris intégration de la dimension de genre</w:t>
            </w:r>
          </w:p>
          <w:p w14:paraId="1660CFB3" w14:textId="02D0EEB1" w:rsidR="00ED2F58" w:rsidRPr="00ED2F58" w:rsidRDefault="00ED2F58" w:rsidP="00FF497B">
            <w:pPr>
              <w:pStyle w:val="ListParagraph"/>
              <w:numPr>
                <w:ilvl w:val="0"/>
                <w:numId w:val="20"/>
              </w:numPr>
              <w:jc w:val="left"/>
              <w:rPr>
                <w:rFonts w:eastAsia="Times New Roman" w:cs="Arial"/>
                <w:color w:val="000000"/>
                <w:sz w:val="20"/>
                <w:szCs w:val="20"/>
              </w:rPr>
            </w:pPr>
            <w:r>
              <w:rPr>
                <w:rFonts w:eastAsia="Times New Roman" w:cs="Arial"/>
                <w:color w:val="000000"/>
                <w:sz w:val="20"/>
                <w:szCs w:val="20"/>
                <w:lang w:val="fr-FR"/>
              </w:rPr>
              <w:t>Nombre d</w:t>
            </w:r>
            <w:r w:rsidR="002C54BD">
              <w:rPr>
                <w:rFonts w:eastAsia="Times New Roman" w:cs="Arial"/>
                <w:color w:val="000000"/>
                <w:sz w:val="20"/>
                <w:szCs w:val="20"/>
                <w:lang w:val="fr-FR"/>
              </w:rPr>
              <w:t>’</w:t>
            </w:r>
            <w:r>
              <w:rPr>
                <w:rFonts w:eastAsia="Times New Roman" w:cs="Arial"/>
                <w:color w:val="000000"/>
                <w:sz w:val="20"/>
                <w:szCs w:val="20"/>
                <w:lang w:val="fr-FR"/>
              </w:rPr>
              <w:t>alliances actuellement financées</w:t>
            </w:r>
          </w:p>
          <w:p w14:paraId="5404C383" w14:textId="55085B4A" w:rsidR="00ED2F58" w:rsidRPr="00BD3D80" w:rsidRDefault="00C26CAB" w:rsidP="00FF497B">
            <w:pPr>
              <w:pStyle w:val="ListParagraph"/>
              <w:numPr>
                <w:ilvl w:val="0"/>
                <w:numId w:val="20"/>
              </w:numPr>
              <w:jc w:val="left"/>
              <w:rPr>
                <w:rFonts w:eastAsia="Times New Roman" w:cs="Arial"/>
                <w:color w:val="000000"/>
                <w:sz w:val="20"/>
                <w:szCs w:val="20"/>
                <w:lang w:val="fr-FR"/>
              </w:rPr>
            </w:pPr>
            <w:r>
              <w:rPr>
                <w:rFonts w:eastAsia="Times New Roman" w:cs="Arial"/>
                <w:color w:val="000000"/>
                <w:sz w:val="20"/>
                <w:szCs w:val="20"/>
                <w:lang w:val="fr-FR"/>
              </w:rPr>
              <w:t xml:space="preserve">Pourcentage </w:t>
            </w:r>
            <w:r w:rsidR="00ED2F58">
              <w:rPr>
                <w:rFonts w:eastAsia="Times New Roman" w:cs="Arial"/>
                <w:color w:val="000000"/>
                <w:sz w:val="20"/>
                <w:szCs w:val="20"/>
                <w:lang w:val="fr-FR"/>
              </w:rPr>
              <w:t>d</w:t>
            </w:r>
            <w:r w:rsidR="002C54BD">
              <w:rPr>
                <w:rFonts w:eastAsia="Times New Roman" w:cs="Arial"/>
                <w:color w:val="000000"/>
                <w:sz w:val="20"/>
                <w:szCs w:val="20"/>
                <w:lang w:val="fr-FR"/>
              </w:rPr>
              <w:t>’</w:t>
            </w:r>
            <w:r w:rsidR="00ED2F58">
              <w:rPr>
                <w:rFonts w:eastAsia="Times New Roman" w:cs="Arial"/>
                <w:color w:val="000000"/>
                <w:sz w:val="20"/>
                <w:szCs w:val="20"/>
                <w:lang w:val="fr-FR"/>
              </w:rPr>
              <w:t xml:space="preserve">alliances </w:t>
            </w:r>
            <w:r w:rsidR="001E76D4">
              <w:rPr>
                <w:rFonts w:eastAsia="Times New Roman" w:cs="Arial"/>
                <w:color w:val="000000"/>
                <w:sz w:val="20"/>
                <w:szCs w:val="20"/>
                <w:lang w:val="fr-FR"/>
              </w:rPr>
              <w:t>qui ont mis en place des structures de gouvernance</w:t>
            </w:r>
            <w:r w:rsidR="00ED2F58">
              <w:rPr>
                <w:rFonts w:eastAsia="Times New Roman" w:cs="Arial"/>
                <w:color w:val="000000"/>
                <w:sz w:val="20"/>
                <w:szCs w:val="20"/>
                <w:lang w:val="fr-FR"/>
              </w:rPr>
              <w:t xml:space="preserve"> </w:t>
            </w:r>
          </w:p>
        </w:tc>
      </w:tr>
      <w:tr w:rsidR="005E752C" w:rsidRPr="00880085" w14:paraId="3087D2F2" w14:textId="77777777" w:rsidTr="005D6077">
        <w:tc>
          <w:tcPr>
            <w:tcW w:w="4957" w:type="dxa"/>
            <w:vAlign w:val="center"/>
          </w:tcPr>
          <w:p w14:paraId="433E9C58" w14:textId="2761976C" w:rsidR="005E752C" w:rsidRPr="00BD3D80" w:rsidRDefault="00C05D41" w:rsidP="00FF497B">
            <w:pPr>
              <w:rPr>
                <w:rFonts w:eastAsia="Times New Roman" w:cs="Arial"/>
                <w:color w:val="000000"/>
                <w:sz w:val="20"/>
                <w:szCs w:val="20"/>
                <w:lang w:val="fr-FR"/>
              </w:rPr>
            </w:pPr>
            <w:bookmarkStart w:id="25" w:name="_Hlk502938325"/>
            <w:r>
              <w:rPr>
                <w:rFonts w:eastAsia="Times New Roman" w:cs="Arial"/>
                <w:color w:val="000000"/>
                <w:sz w:val="20"/>
                <w:szCs w:val="20"/>
                <w:lang w:val="fr-FR"/>
              </w:rPr>
              <w:t xml:space="preserve">4.6. Les </w:t>
            </w:r>
            <w:r w:rsidR="00757ED6">
              <w:rPr>
                <w:rFonts w:eastAsia="Times New Roman" w:cs="Arial"/>
                <w:color w:val="000000"/>
                <w:sz w:val="20"/>
                <w:szCs w:val="20"/>
                <w:lang w:val="fr-FR"/>
              </w:rPr>
              <w:t>ASC du Mouvement</w:t>
            </w:r>
            <w:r>
              <w:rPr>
                <w:rFonts w:eastAsia="Times New Roman" w:cs="Arial"/>
                <w:color w:val="000000"/>
                <w:sz w:val="20"/>
                <w:szCs w:val="20"/>
                <w:lang w:val="fr-FR"/>
              </w:rPr>
              <w:t xml:space="preserve"> SUN mettent en œuvre leurs plans d’alliance nationaux</w:t>
            </w:r>
            <w:bookmarkEnd w:id="25"/>
          </w:p>
        </w:tc>
        <w:tc>
          <w:tcPr>
            <w:tcW w:w="4961" w:type="dxa"/>
          </w:tcPr>
          <w:p w14:paraId="5400C22C" w14:textId="57ABA62D" w:rsidR="005E752C" w:rsidRPr="00BD3D80" w:rsidRDefault="007875F2" w:rsidP="00FF497B">
            <w:pPr>
              <w:pStyle w:val="ListParagraph"/>
              <w:numPr>
                <w:ilvl w:val="0"/>
                <w:numId w:val="20"/>
              </w:numPr>
              <w:jc w:val="left"/>
              <w:rPr>
                <w:rFonts w:eastAsia="Times New Roman" w:cs="Arial"/>
                <w:color w:val="000000"/>
                <w:sz w:val="20"/>
                <w:szCs w:val="20"/>
                <w:lang w:val="fr-FR"/>
              </w:rPr>
            </w:pPr>
            <w:r>
              <w:rPr>
                <w:rFonts w:eastAsia="Times New Roman" w:cs="Arial"/>
                <w:color w:val="000000"/>
                <w:sz w:val="20"/>
                <w:szCs w:val="20"/>
                <w:lang w:val="fr-FR"/>
              </w:rPr>
              <w:t>(pour le</w:t>
            </w:r>
            <w:r w:rsidR="00757ED6">
              <w:rPr>
                <w:rFonts w:eastAsia="Times New Roman" w:cs="Arial"/>
                <w:color w:val="000000"/>
                <w:sz w:val="20"/>
                <w:szCs w:val="20"/>
                <w:lang w:val="fr-FR"/>
              </w:rPr>
              <w:t>s</w:t>
            </w:r>
            <w:r>
              <w:rPr>
                <w:rFonts w:eastAsia="Times New Roman" w:cs="Arial"/>
                <w:color w:val="000000"/>
                <w:sz w:val="20"/>
                <w:szCs w:val="20"/>
                <w:lang w:val="fr-FR"/>
              </w:rPr>
              <w:t xml:space="preserve"> RSC) nombre d</w:t>
            </w:r>
            <w:r w:rsidR="002C54BD">
              <w:rPr>
                <w:rFonts w:eastAsia="Times New Roman" w:cs="Arial"/>
                <w:color w:val="000000"/>
                <w:sz w:val="20"/>
                <w:szCs w:val="20"/>
                <w:lang w:val="fr-FR"/>
              </w:rPr>
              <w:t>’</w:t>
            </w:r>
            <w:r>
              <w:rPr>
                <w:rFonts w:eastAsia="Times New Roman" w:cs="Arial"/>
                <w:color w:val="000000"/>
                <w:sz w:val="20"/>
                <w:szCs w:val="20"/>
                <w:lang w:val="fr-FR"/>
              </w:rPr>
              <w:t xml:space="preserve">ASC en bonne voie de réalisation de leur plan de travail et de leurs </w:t>
            </w:r>
            <w:r w:rsidR="00AC6EDD">
              <w:rPr>
                <w:rFonts w:eastAsia="Times New Roman" w:cs="Arial"/>
                <w:color w:val="000000"/>
                <w:sz w:val="20"/>
                <w:szCs w:val="20"/>
                <w:lang w:val="fr-FR"/>
              </w:rPr>
              <w:t>cibles annuelles</w:t>
            </w:r>
            <w:r>
              <w:rPr>
                <w:rFonts w:eastAsia="Times New Roman" w:cs="Arial"/>
                <w:color w:val="000000"/>
                <w:sz w:val="20"/>
                <w:szCs w:val="20"/>
                <w:lang w:val="fr-FR"/>
              </w:rPr>
              <w:t xml:space="preserve"> </w:t>
            </w:r>
          </w:p>
          <w:p w14:paraId="48890401" w14:textId="325EC49B" w:rsidR="00760003" w:rsidRPr="00317BFC" w:rsidRDefault="00760003" w:rsidP="00FF497B">
            <w:pPr>
              <w:pStyle w:val="ListParagraph"/>
              <w:jc w:val="left"/>
              <w:rPr>
                <w:rFonts w:eastAsia="Times New Roman" w:cs="Arial"/>
                <w:color w:val="000000"/>
                <w:sz w:val="20"/>
                <w:szCs w:val="20"/>
              </w:rPr>
            </w:pPr>
            <w:r>
              <w:rPr>
                <w:rFonts w:eastAsia="Times New Roman" w:cs="Arial"/>
                <w:color w:val="000000"/>
                <w:sz w:val="20"/>
                <w:szCs w:val="20"/>
                <w:lang w:val="fr-FR"/>
              </w:rPr>
              <w:t>Ou</w:t>
            </w:r>
          </w:p>
          <w:p w14:paraId="13576CD4" w14:textId="1C6576DD" w:rsidR="00580D02" w:rsidRPr="00BD3D80" w:rsidRDefault="007875F2" w:rsidP="00FF497B">
            <w:pPr>
              <w:pStyle w:val="ListParagraph"/>
              <w:numPr>
                <w:ilvl w:val="0"/>
                <w:numId w:val="20"/>
              </w:numPr>
              <w:jc w:val="left"/>
              <w:rPr>
                <w:rFonts w:eastAsia="Times New Roman" w:cs="Arial"/>
                <w:color w:val="000000"/>
                <w:sz w:val="20"/>
                <w:szCs w:val="20"/>
                <w:lang w:val="fr-FR"/>
              </w:rPr>
            </w:pPr>
            <w:r>
              <w:rPr>
                <w:rFonts w:eastAsia="Times New Roman" w:cs="Arial"/>
                <w:color w:val="000000"/>
                <w:sz w:val="20"/>
                <w:szCs w:val="20"/>
                <w:lang w:val="fr-FR"/>
              </w:rPr>
              <w:t xml:space="preserve">(pour les ASC) pourcentage de progrès dans la réalisation des </w:t>
            </w:r>
            <w:r w:rsidR="00AC6EDD">
              <w:rPr>
                <w:rFonts w:eastAsia="Times New Roman" w:cs="Arial"/>
                <w:color w:val="000000"/>
                <w:sz w:val="20"/>
                <w:szCs w:val="20"/>
                <w:lang w:val="fr-FR"/>
              </w:rPr>
              <w:t>cibles</w:t>
            </w:r>
            <w:r>
              <w:rPr>
                <w:rFonts w:eastAsia="Times New Roman" w:cs="Arial"/>
                <w:color w:val="000000"/>
                <w:sz w:val="20"/>
                <w:szCs w:val="20"/>
                <w:lang w:val="fr-FR"/>
              </w:rPr>
              <w:t>/du plan de travail des ASC</w:t>
            </w:r>
          </w:p>
          <w:p w14:paraId="3C25E288" w14:textId="77777777" w:rsidR="00AB7ECF" w:rsidRPr="00BD3D80" w:rsidRDefault="00AB7ECF" w:rsidP="00FF497B">
            <w:pPr>
              <w:rPr>
                <w:rFonts w:eastAsia="Times New Roman" w:cs="Arial"/>
                <w:color w:val="000000"/>
                <w:sz w:val="20"/>
                <w:szCs w:val="20"/>
                <w:lang w:val="fr-FR"/>
              </w:rPr>
            </w:pPr>
          </w:p>
          <w:p w14:paraId="73236934" w14:textId="2D11C89D" w:rsidR="00AB7ECF" w:rsidRPr="00BD3D80" w:rsidRDefault="00AB7ECF" w:rsidP="00FF497B">
            <w:pPr>
              <w:pStyle w:val="ListParagraph"/>
              <w:jc w:val="left"/>
              <w:rPr>
                <w:rFonts w:eastAsia="Times New Roman" w:cs="Arial"/>
                <w:color w:val="000000"/>
                <w:sz w:val="20"/>
                <w:szCs w:val="20"/>
                <w:lang w:val="fr-FR"/>
              </w:rPr>
            </w:pPr>
          </w:p>
        </w:tc>
      </w:tr>
      <w:bookmarkEnd w:id="0"/>
    </w:tbl>
    <w:p w14:paraId="6E9E4802" w14:textId="1F425235" w:rsidR="00D332E3" w:rsidRDefault="00D332E3">
      <w:pPr>
        <w:rPr>
          <w:rFonts w:asciiTheme="majorHAnsi" w:hAnsiTheme="majorHAnsi" w:cstheme="majorBidi"/>
          <w:b/>
          <w:bCs/>
          <w:color w:val="FFC000" w:themeColor="accent4"/>
          <w:sz w:val="28"/>
          <w:szCs w:val="28"/>
          <w:lang w:val="fr-FR"/>
        </w:rPr>
      </w:pPr>
    </w:p>
    <w:p w14:paraId="3E010C7B" w14:textId="24E9F89E" w:rsidR="005D6077" w:rsidRPr="001A3B0A" w:rsidRDefault="00E07158" w:rsidP="001A3B0A">
      <w:pPr>
        <w:pStyle w:val="Heading2"/>
        <w:rPr>
          <w:rFonts w:eastAsiaTheme="minorHAnsi"/>
          <w:b/>
          <w:color w:val="FFC000" w:themeColor="accent4"/>
          <w:sz w:val="28"/>
          <w:szCs w:val="28"/>
        </w:rPr>
      </w:pPr>
      <w:bookmarkStart w:id="26" w:name="_Toc37072351"/>
      <w:r>
        <w:rPr>
          <w:rFonts w:eastAsiaTheme="minorHAnsi"/>
          <w:b/>
          <w:bCs/>
          <w:color w:val="FFC000" w:themeColor="accent4"/>
          <w:sz w:val="28"/>
          <w:szCs w:val="28"/>
          <w:lang w:val="fr-FR"/>
        </w:rPr>
        <w:lastRenderedPageBreak/>
        <w:t>Produits</w:t>
      </w:r>
      <w:r w:rsidR="002C54BD">
        <w:rPr>
          <w:rFonts w:eastAsiaTheme="minorHAnsi"/>
          <w:b/>
          <w:bCs/>
          <w:color w:val="FFC000" w:themeColor="accent4"/>
          <w:sz w:val="28"/>
          <w:szCs w:val="28"/>
          <w:lang w:val="fr-FR"/>
        </w:rPr>
        <w:t> </w:t>
      </w:r>
      <w:r>
        <w:rPr>
          <w:rFonts w:eastAsiaTheme="minorHAnsi"/>
          <w:b/>
          <w:bCs/>
          <w:color w:val="FFC000" w:themeColor="accent4"/>
          <w:sz w:val="28"/>
          <w:szCs w:val="28"/>
          <w:lang w:val="fr-FR"/>
        </w:rPr>
        <w:t>4</w:t>
      </w:r>
      <w:bookmarkEnd w:id="26"/>
      <w:r>
        <w:rPr>
          <w:rFonts w:eastAsiaTheme="minorHAnsi"/>
          <w:b/>
          <w:bCs/>
          <w:color w:val="FFC000" w:themeColor="accent4"/>
          <w:sz w:val="28"/>
          <w:szCs w:val="28"/>
          <w:lang w:val="fr-FR"/>
        </w:rPr>
        <w:t xml:space="preserve"> </w:t>
      </w:r>
    </w:p>
    <w:p w14:paraId="4948996F" w14:textId="77777777" w:rsidR="0099382A" w:rsidRDefault="0099382A">
      <w:pPr>
        <w:rPr>
          <w:b/>
        </w:rPr>
      </w:pPr>
    </w:p>
    <w:p w14:paraId="01330D7F" w14:textId="77777777" w:rsidR="0099382A" w:rsidRPr="00FD0122" w:rsidRDefault="0099382A" w:rsidP="0099382A">
      <w:pPr>
        <w:jc w:val="center"/>
        <w:rPr>
          <w:rFonts w:eastAsia="Times New Roman" w:cstheme="majorHAnsi"/>
          <w:b/>
          <w:color w:val="000000"/>
          <w:sz w:val="20"/>
          <w:szCs w:val="20"/>
        </w:rPr>
      </w:pPr>
    </w:p>
    <w:tbl>
      <w:tblPr>
        <w:tblW w:w="5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3230"/>
        <w:gridCol w:w="5345"/>
      </w:tblGrid>
      <w:tr w:rsidR="00733D1B" w:rsidRPr="00250A20" w14:paraId="3D9812FD" w14:textId="77777777" w:rsidTr="00151E80">
        <w:trPr>
          <w:trHeight w:val="85"/>
        </w:trPr>
        <w:tc>
          <w:tcPr>
            <w:tcW w:w="628" w:type="pct"/>
            <w:shd w:val="clear" w:color="000000" w:fill="DA9694"/>
          </w:tcPr>
          <w:p w14:paraId="6F622B7B" w14:textId="77777777" w:rsidR="00733D1B" w:rsidRPr="00250A20" w:rsidRDefault="00733D1B" w:rsidP="00CC1ACD">
            <w:pPr>
              <w:spacing w:after="0" w:line="240" w:lineRule="auto"/>
              <w:jc w:val="center"/>
              <w:rPr>
                <w:b/>
                <w:sz w:val="20"/>
                <w:szCs w:val="20"/>
              </w:rPr>
            </w:pPr>
          </w:p>
        </w:tc>
        <w:tc>
          <w:tcPr>
            <w:tcW w:w="4372" w:type="pct"/>
            <w:gridSpan w:val="2"/>
            <w:shd w:val="clear" w:color="000000" w:fill="DA9694"/>
            <w:vAlign w:val="center"/>
          </w:tcPr>
          <w:p w14:paraId="7F74C435" w14:textId="225642AA" w:rsidR="00733D1B" w:rsidRPr="00250A20" w:rsidRDefault="00733D1B" w:rsidP="00CC1ACD">
            <w:pPr>
              <w:spacing w:after="0" w:line="240" w:lineRule="auto"/>
              <w:jc w:val="center"/>
              <w:rPr>
                <w:rFonts w:eastAsia="Times New Roman" w:cstheme="majorHAnsi"/>
                <w:b/>
                <w:color w:val="000000"/>
                <w:sz w:val="20"/>
                <w:szCs w:val="20"/>
              </w:rPr>
            </w:pPr>
            <w:r>
              <w:rPr>
                <w:b/>
                <w:bCs/>
                <w:sz w:val="20"/>
                <w:szCs w:val="20"/>
                <w:lang w:val="fr-FR"/>
              </w:rPr>
              <w:t>Produits</w:t>
            </w:r>
            <w:r w:rsidR="002C54BD">
              <w:rPr>
                <w:b/>
                <w:bCs/>
                <w:sz w:val="20"/>
                <w:szCs w:val="20"/>
                <w:lang w:val="fr-FR"/>
              </w:rPr>
              <w:t> </w:t>
            </w:r>
            <w:r>
              <w:rPr>
                <w:b/>
                <w:bCs/>
                <w:sz w:val="20"/>
                <w:szCs w:val="20"/>
                <w:lang w:val="fr-FR"/>
              </w:rPr>
              <w:t>4</w:t>
            </w:r>
          </w:p>
        </w:tc>
      </w:tr>
      <w:tr w:rsidR="00827251" w:rsidRPr="00880085" w14:paraId="7B46C3BC" w14:textId="77777777" w:rsidTr="00151E80">
        <w:trPr>
          <w:trHeight w:val="85"/>
        </w:trPr>
        <w:tc>
          <w:tcPr>
            <w:tcW w:w="628" w:type="pct"/>
            <w:shd w:val="clear" w:color="000000" w:fill="DA9694"/>
          </w:tcPr>
          <w:p w14:paraId="1E84E00B" w14:textId="77777777" w:rsidR="00733D1B" w:rsidRPr="00250A20" w:rsidRDefault="00733D1B" w:rsidP="00EF2807">
            <w:pPr>
              <w:spacing w:after="0" w:line="240" w:lineRule="auto"/>
              <w:jc w:val="center"/>
              <w:rPr>
                <w:rFonts w:ascii="Calibri" w:eastAsia="Times New Roman" w:hAnsi="Calibri" w:cs="Arial"/>
                <w:b/>
                <w:sz w:val="20"/>
                <w:szCs w:val="20"/>
              </w:rPr>
            </w:pPr>
          </w:p>
        </w:tc>
        <w:tc>
          <w:tcPr>
            <w:tcW w:w="1668" w:type="pct"/>
            <w:shd w:val="clear" w:color="000000" w:fill="DA9694"/>
            <w:vAlign w:val="center"/>
          </w:tcPr>
          <w:p w14:paraId="0E1D3B2C" w14:textId="7F68584B" w:rsidR="00733D1B" w:rsidRPr="00250A20" w:rsidRDefault="00733D1B" w:rsidP="00EF2807">
            <w:pPr>
              <w:spacing w:after="0" w:line="240" w:lineRule="auto"/>
              <w:jc w:val="center"/>
              <w:rPr>
                <w:rFonts w:ascii="Calibri" w:eastAsia="Times New Roman" w:hAnsi="Calibri" w:cs="Arial"/>
                <w:b/>
                <w:sz w:val="20"/>
                <w:szCs w:val="20"/>
              </w:rPr>
            </w:pPr>
            <w:r>
              <w:rPr>
                <w:rFonts w:ascii="Calibri" w:eastAsia="Times New Roman" w:hAnsi="Calibri" w:cs="Arial"/>
                <w:b/>
                <w:bCs/>
                <w:sz w:val="20"/>
                <w:szCs w:val="20"/>
                <w:lang w:val="fr-FR"/>
              </w:rPr>
              <w:t xml:space="preserve">Produits/activités </w:t>
            </w:r>
            <w:r w:rsidR="00644F77" w:rsidRPr="00325D8D">
              <w:rPr>
                <w:rFonts w:ascii="Calibri" w:eastAsia="Times New Roman" w:hAnsi="Calibri" w:cs="Arial"/>
                <w:b/>
                <w:bCs/>
                <w:sz w:val="20"/>
                <w:szCs w:val="20"/>
                <w:lang w:val="fr-FR"/>
              </w:rPr>
              <w:t>t</w:t>
            </w:r>
            <w:r w:rsidR="00644F77">
              <w:rPr>
                <w:rFonts w:ascii="Calibri" w:eastAsia="Times New Roman" w:hAnsi="Calibri" w:cs="Arial"/>
                <w:b/>
                <w:bCs/>
                <w:sz w:val="20"/>
                <w:szCs w:val="20"/>
                <w:lang w:val="fr-FR"/>
              </w:rPr>
              <w:t>ransversaux</w:t>
            </w:r>
          </w:p>
        </w:tc>
        <w:tc>
          <w:tcPr>
            <w:tcW w:w="2704" w:type="pct"/>
            <w:shd w:val="clear" w:color="000000" w:fill="DA9694"/>
            <w:vAlign w:val="center"/>
          </w:tcPr>
          <w:p w14:paraId="1273B07F" w14:textId="4F71AB6C" w:rsidR="00733D1B" w:rsidRPr="00BD3D80" w:rsidRDefault="00733D1B" w:rsidP="00EF2807">
            <w:pPr>
              <w:spacing w:after="0" w:line="240" w:lineRule="auto"/>
              <w:rPr>
                <w:rFonts w:ascii="Calibri" w:eastAsia="Times New Roman" w:hAnsi="Calibri" w:cs="Arial"/>
                <w:sz w:val="20"/>
                <w:szCs w:val="20"/>
                <w:lang w:val="fr-FR"/>
              </w:rPr>
            </w:pPr>
            <w:r>
              <w:rPr>
                <w:b/>
                <w:bCs/>
                <w:sz w:val="20"/>
                <w:szCs w:val="20"/>
                <w:lang w:val="fr-FR"/>
              </w:rPr>
              <w:t>Indicateurs suggérés (lorsque plusieurs choix sont possibles, veuillez n</w:t>
            </w:r>
            <w:r w:rsidR="002C54BD">
              <w:rPr>
                <w:b/>
                <w:bCs/>
                <w:sz w:val="20"/>
                <w:szCs w:val="20"/>
                <w:lang w:val="fr-FR"/>
              </w:rPr>
              <w:t>’</w:t>
            </w:r>
            <w:r>
              <w:rPr>
                <w:b/>
                <w:bCs/>
                <w:sz w:val="20"/>
                <w:szCs w:val="20"/>
                <w:lang w:val="fr-FR"/>
              </w:rPr>
              <w:t>en sélectionner qu</w:t>
            </w:r>
            <w:r w:rsidR="002C54BD">
              <w:rPr>
                <w:b/>
                <w:bCs/>
                <w:sz w:val="20"/>
                <w:szCs w:val="20"/>
                <w:lang w:val="fr-FR"/>
              </w:rPr>
              <w:t>’</w:t>
            </w:r>
            <w:r>
              <w:rPr>
                <w:b/>
                <w:bCs/>
                <w:sz w:val="20"/>
                <w:szCs w:val="20"/>
                <w:lang w:val="fr-FR"/>
              </w:rPr>
              <w:t>un seul)</w:t>
            </w:r>
            <w:r>
              <w:rPr>
                <w:rFonts w:ascii="Calibri" w:hAnsi="Calibri"/>
                <w:sz w:val="20"/>
                <w:szCs w:val="20"/>
                <w:lang w:val="fr-FR"/>
              </w:rPr>
              <w:t xml:space="preserve"> (</w:t>
            </w:r>
            <w:r>
              <w:rPr>
                <w:rFonts w:ascii="Calibri" w:hAnsi="Calibri"/>
                <w:color w:val="538135" w:themeColor="accent6" w:themeShade="BF"/>
                <w:sz w:val="20"/>
                <w:szCs w:val="20"/>
                <w:lang w:val="fr-FR"/>
              </w:rPr>
              <w:t>Indicateurs concernant le Secrétariat mondial du RSC</w:t>
            </w:r>
            <w:r>
              <w:rPr>
                <w:rFonts w:ascii="Calibri" w:hAnsi="Calibri"/>
                <w:sz w:val="20"/>
                <w:szCs w:val="20"/>
                <w:lang w:val="fr-FR"/>
              </w:rPr>
              <w:t>)</w:t>
            </w:r>
          </w:p>
        </w:tc>
      </w:tr>
      <w:tr w:rsidR="00827251" w:rsidRPr="00880085" w14:paraId="69051EF5" w14:textId="77777777" w:rsidTr="00151E80">
        <w:trPr>
          <w:trHeight w:val="85"/>
        </w:trPr>
        <w:tc>
          <w:tcPr>
            <w:tcW w:w="628" w:type="pct"/>
            <w:vMerge w:val="restart"/>
            <w:shd w:val="clear" w:color="auto" w:fill="FFFFFF" w:themeFill="background1"/>
          </w:tcPr>
          <w:p w14:paraId="4521905F" w14:textId="05F63063" w:rsidR="00827251" w:rsidRPr="00250A20" w:rsidRDefault="00151E80" w:rsidP="00E644E8">
            <w:pPr>
              <w:spacing w:after="0" w:line="240" w:lineRule="auto"/>
              <w:jc w:val="center"/>
              <w:rPr>
                <w:rFonts w:ascii="Calibri" w:eastAsia="Times New Roman" w:hAnsi="Calibri" w:cs="Arial"/>
                <w:sz w:val="20"/>
                <w:szCs w:val="20"/>
              </w:rPr>
            </w:pPr>
            <w:r>
              <w:rPr>
                <w:rFonts w:ascii="Calibri" w:eastAsia="Times New Roman" w:hAnsi="Calibri" w:cs="Arial"/>
                <w:sz w:val="20"/>
                <w:szCs w:val="20"/>
                <w:lang w:val="fr-FR"/>
              </w:rPr>
              <w:t>Résultat intermédiaire</w:t>
            </w:r>
            <w:r w:rsidR="002C54BD">
              <w:rPr>
                <w:rFonts w:ascii="Calibri" w:eastAsia="Times New Roman" w:hAnsi="Calibri" w:cs="Arial"/>
                <w:sz w:val="20"/>
                <w:szCs w:val="20"/>
                <w:lang w:val="fr-FR"/>
              </w:rPr>
              <w:t> </w:t>
            </w:r>
            <w:r>
              <w:rPr>
                <w:rFonts w:ascii="Calibri" w:eastAsia="Times New Roman" w:hAnsi="Calibri" w:cs="Arial"/>
                <w:sz w:val="20"/>
                <w:szCs w:val="20"/>
                <w:lang w:val="fr-FR"/>
              </w:rPr>
              <w:t>4.1</w:t>
            </w:r>
          </w:p>
        </w:tc>
        <w:tc>
          <w:tcPr>
            <w:tcW w:w="1668" w:type="pct"/>
            <w:shd w:val="clear" w:color="auto" w:fill="FFFFFF" w:themeFill="background1"/>
            <w:vAlign w:val="center"/>
          </w:tcPr>
          <w:p w14:paraId="64D00E10" w14:textId="44660302" w:rsidR="00827251" w:rsidRPr="00BD3D80" w:rsidRDefault="00827251" w:rsidP="006C3018">
            <w:p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 xml:space="preserve">4.1.1. </w:t>
            </w:r>
            <w:r>
              <w:rPr>
                <w:rFonts w:ascii="Calibri" w:eastAsia="Times New Roman" w:hAnsi="Calibri" w:cs="Arial"/>
                <w:color w:val="538135" w:themeColor="accent6" w:themeShade="BF"/>
                <w:sz w:val="20"/>
                <w:szCs w:val="20"/>
                <w:lang w:val="fr-FR"/>
              </w:rPr>
              <w:t>La société civile guide le développement de campagnes mondiales et régionales et y participe</w:t>
            </w:r>
          </w:p>
        </w:tc>
        <w:tc>
          <w:tcPr>
            <w:tcW w:w="2704" w:type="pct"/>
            <w:shd w:val="clear" w:color="auto" w:fill="FFFFFF" w:themeFill="background1"/>
            <w:vAlign w:val="center"/>
          </w:tcPr>
          <w:p w14:paraId="6C1B18A9" w14:textId="24D1EE2E"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événements clés auxquels le RSC et les ASC sont représentés au niveau international et régional pour influencer les politiques et les pratiques en matière de nutrition</w:t>
            </w:r>
          </w:p>
          <w:p w14:paraId="307E6809" w14:textId="1BB9C108" w:rsidR="00ED2F58" w:rsidRPr="00BD3D80" w:rsidRDefault="00ED2F58" w:rsidP="00ED2F5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de campagnes mises en œuvre par des membres du RSC (jeunes et ASC)</w:t>
            </w:r>
            <w:r w:rsidR="00C26CAB">
              <w:rPr>
                <w:rFonts w:ascii="Calibri" w:eastAsia="Times New Roman" w:hAnsi="Calibri" w:cs="Arial"/>
                <w:color w:val="538135" w:themeColor="accent6" w:themeShade="BF"/>
                <w:sz w:val="20"/>
                <w:szCs w:val="20"/>
                <w:lang w:val="fr-FR"/>
              </w:rPr>
              <w:t xml:space="preserve"> </w:t>
            </w:r>
          </w:p>
          <w:p w14:paraId="6E2247B5" w14:textId="5A724871" w:rsidR="00ED2F58" w:rsidRPr="00BD3D80" w:rsidRDefault="00644F77" w:rsidP="00C94552">
            <w:pPr>
              <w:pStyle w:val="ListParagraph"/>
              <w:spacing w:after="0" w:line="240" w:lineRule="auto"/>
              <w:rPr>
                <w:rFonts w:ascii="Calibri" w:eastAsia="Times New Roman" w:hAnsi="Calibri" w:cs="Arial"/>
                <w:color w:val="538135" w:themeColor="accent6" w:themeShade="BF"/>
                <w:sz w:val="20"/>
                <w:szCs w:val="20"/>
                <w:lang w:val="fr-FR"/>
              </w:rPr>
            </w:pPr>
            <w:r>
              <w:rPr>
                <w:lang w:val="fr-FR"/>
              </w:rPr>
              <w:t>Nombre de cas où les membres du RSC ont orienté l’élaboration de campagnes liées à la nutrition qui ont abouti à la prise en compte des recommandations de la société civile</w:t>
            </w:r>
          </w:p>
          <w:p w14:paraId="1CB864F0" w14:textId="67A2D039" w:rsidR="00ED2F58" w:rsidRPr="00BD3D80" w:rsidRDefault="00ED2F58" w:rsidP="00D332E3">
            <w:pPr>
              <w:pStyle w:val="ListParagraph"/>
              <w:spacing w:after="0" w:line="240" w:lineRule="auto"/>
              <w:rPr>
                <w:rFonts w:ascii="Calibri" w:eastAsia="Times New Roman" w:hAnsi="Calibri" w:cs="Arial"/>
                <w:color w:val="538135" w:themeColor="accent6" w:themeShade="BF"/>
                <w:sz w:val="20"/>
                <w:szCs w:val="20"/>
                <w:lang w:val="fr-FR"/>
              </w:rPr>
            </w:pPr>
          </w:p>
        </w:tc>
      </w:tr>
      <w:tr w:rsidR="00827251" w:rsidRPr="00880085" w14:paraId="35D40C50" w14:textId="77777777" w:rsidTr="00151E80">
        <w:trPr>
          <w:trHeight w:val="85"/>
        </w:trPr>
        <w:tc>
          <w:tcPr>
            <w:tcW w:w="628" w:type="pct"/>
            <w:vMerge/>
            <w:shd w:val="clear" w:color="auto" w:fill="FFFFFF" w:themeFill="background1"/>
          </w:tcPr>
          <w:p w14:paraId="795DAB2A" w14:textId="77777777" w:rsidR="00827251" w:rsidRPr="00BD3D80" w:rsidRDefault="00827251" w:rsidP="00E644E8">
            <w:pPr>
              <w:spacing w:after="0" w:line="240" w:lineRule="auto"/>
              <w:jc w:val="center"/>
              <w:rPr>
                <w:rFonts w:ascii="Calibri" w:eastAsia="Times New Roman" w:hAnsi="Calibri" w:cs="Arial"/>
                <w:sz w:val="20"/>
                <w:szCs w:val="20"/>
                <w:lang w:val="fr-FR"/>
              </w:rPr>
            </w:pPr>
          </w:p>
        </w:tc>
        <w:tc>
          <w:tcPr>
            <w:tcW w:w="1668" w:type="pct"/>
            <w:shd w:val="clear" w:color="auto" w:fill="FFFFFF" w:themeFill="background1"/>
            <w:vAlign w:val="center"/>
            <w:hideMark/>
          </w:tcPr>
          <w:p w14:paraId="048179B2" w14:textId="1CA97BC5" w:rsidR="00827251" w:rsidRPr="00BD3D80" w:rsidRDefault="00827251" w:rsidP="006C3018">
            <w:p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 xml:space="preserve">4.1.2. </w:t>
            </w:r>
            <w:r>
              <w:rPr>
                <w:rFonts w:ascii="Calibri" w:eastAsia="Times New Roman" w:hAnsi="Calibri" w:cs="Arial"/>
                <w:color w:val="538135" w:themeColor="accent6" w:themeShade="BF"/>
                <w:sz w:val="20"/>
                <w:szCs w:val="20"/>
                <w:lang w:val="fr-FR"/>
              </w:rPr>
              <w:t>Les membres des ASC, en particulier les jeunes, participent à des actions de sensibilisation au niveau mondial et régional</w:t>
            </w:r>
          </w:p>
        </w:tc>
        <w:tc>
          <w:tcPr>
            <w:tcW w:w="2704" w:type="pct"/>
            <w:shd w:val="clear" w:color="auto" w:fill="FFFFFF" w:themeFill="background1"/>
            <w:vAlign w:val="center"/>
            <w:hideMark/>
          </w:tcPr>
          <w:p w14:paraId="76264939" w14:textId="533A82DD" w:rsidR="00ED2F58" w:rsidRPr="00BD3D80" w:rsidRDefault="00ED2F58"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sz w:val="20"/>
                <w:szCs w:val="20"/>
                <w:lang w:val="fr-FR"/>
              </w:rPr>
              <w:t xml:space="preserve">Nombre </w:t>
            </w:r>
            <w:r w:rsidRPr="00D20ACF">
              <w:rPr>
                <w:rFonts w:ascii="Calibri" w:eastAsia="Times New Roman" w:hAnsi="Calibri" w:cs="Arial"/>
                <w:color w:val="538135" w:themeColor="accent6" w:themeShade="BF"/>
                <w:sz w:val="20"/>
                <w:szCs w:val="20"/>
                <w:lang w:val="fr-FR"/>
              </w:rPr>
              <w:t>d</w:t>
            </w:r>
            <w:r w:rsidR="002C54BD">
              <w:rPr>
                <w:rFonts w:ascii="Calibri" w:eastAsia="Times New Roman" w:hAnsi="Calibri" w:cs="Arial"/>
                <w:color w:val="538135" w:themeColor="accent6" w:themeShade="BF"/>
                <w:sz w:val="20"/>
                <w:szCs w:val="20"/>
                <w:lang w:val="fr-FR"/>
              </w:rPr>
              <w:t>’</w:t>
            </w:r>
            <w:r w:rsidRPr="00D20ACF">
              <w:rPr>
                <w:rFonts w:ascii="Calibri" w:eastAsia="Times New Roman" w:hAnsi="Calibri" w:cs="Arial"/>
                <w:color w:val="538135" w:themeColor="accent6" w:themeShade="BF"/>
                <w:sz w:val="20"/>
                <w:szCs w:val="20"/>
                <w:lang w:val="fr-FR"/>
              </w:rPr>
              <w:t>événements de plaidoyer mondiaux ou régionaux avec la participation des jeunes ou de la société civile (ventilés par niveau international, régional si possible)</w:t>
            </w:r>
          </w:p>
        </w:tc>
      </w:tr>
      <w:tr w:rsidR="00827251" w:rsidRPr="00880085" w14:paraId="6F18800F" w14:textId="77777777" w:rsidTr="00151E80">
        <w:trPr>
          <w:trHeight w:val="85"/>
        </w:trPr>
        <w:tc>
          <w:tcPr>
            <w:tcW w:w="628" w:type="pct"/>
            <w:vMerge w:val="restart"/>
            <w:shd w:val="clear" w:color="auto" w:fill="FFFFFF" w:themeFill="background1"/>
          </w:tcPr>
          <w:p w14:paraId="5355367A" w14:textId="47F14F96" w:rsidR="00827251" w:rsidRPr="00250A20" w:rsidRDefault="00151E80" w:rsidP="00E644E8">
            <w:pPr>
              <w:spacing w:after="0" w:line="240" w:lineRule="auto"/>
              <w:jc w:val="center"/>
              <w:rPr>
                <w:rFonts w:ascii="Calibri" w:eastAsia="Times New Roman" w:hAnsi="Calibri" w:cs="Arial"/>
                <w:sz w:val="20"/>
                <w:szCs w:val="20"/>
              </w:rPr>
            </w:pPr>
            <w:r>
              <w:rPr>
                <w:rFonts w:ascii="Calibri" w:eastAsia="Times New Roman" w:hAnsi="Calibri" w:cs="Arial"/>
                <w:sz w:val="20"/>
                <w:szCs w:val="20"/>
                <w:lang w:val="fr-FR"/>
              </w:rPr>
              <w:t>Résultat intermédiaire</w:t>
            </w:r>
            <w:r w:rsidR="002C54BD">
              <w:rPr>
                <w:rFonts w:ascii="Calibri" w:eastAsia="Times New Roman" w:hAnsi="Calibri" w:cs="Arial"/>
                <w:sz w:val="20"/>
                <w:szCs w:val="20"/>
                <w:lang w:val="fr-FR"/>
              </w:rPr>
              <w:t> </w:t>
            </w:r>
            <w:r>
              <w:rPr>
                <w:rFonts w:ascii="Calibri" w:eastAsia="Times New Roman" w:hAnsi="Calibri" w:cs="Arial"/>
                <w:sz w:val="20"/>
                <w:szCs w:val="20"/>
                <w:lang w:val="fr-FR"/>
              </w:rPr>
              <w:t>4.2</w:t>
            </w:r>
          </w:p>
        </w:tc>
        <w:tc>
          <w:tcPr>
            <w:tcW w:w="1668" w:type="pct"/>
            <w:shd w:val="clear" w:color="auto" w:fill="FFFFFF" w:themeFill="background1"/>
            <w:vAlign w:val="center"/>
          </w:tcPr>
          <w:p w14:paraId="76AE4BBE" w14:textId="684DE500" w:rsidR="00827251" w:rsidRPr="00BD3D80" w:rsidRDefault="00827251" w:rsidP="006C3018">
            <w:p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4.2.1. Des études de cas, des notes d’orientation et des études sont élaborées et partagées, sur les domaines thématiques clés</w:t>
            </w:r>
            <w:r w:rsidR="00C26CAB">
              <w:rPr>
                <w:rFonts w:ascii="Calibri" w:eastAsia="Times New Roman" w:hAnsi="Calibri" w:cs="Arial"/>
                <w:sz w:val="20"/>
                <w:szCs w:val="20"/>
                <w:lang w:val="fr-FR"/>
              </w:rPr>
              <w:t xml:space="preserve"> </w:t>
            </w:r>
          </w:p>
        </w:tc>
        <w:tc>
          <w:tcPr>
            <w:tcW w:w="2704" w:type="pct"/>
            <w:shd w:val="clear" w:color="auto" w:fill="FFFFFF" w:themeFill="background1"/>
            <w:vAlign w:val="center"/>
          </w:tcPr>
          <w:p w14:paraId="179CA2A6" w14:textId="67784B59" w:rsidR="00A11707" w:rsidRPr="00BD3D80" w:rsidRDefault="0071544E" w:rsidP="00B53EAE">
            <w:pPr>
              <w:pStyle w:val="ListParagraph"/>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études de cas/de </w:t>
            </w:r>
            <w:r w:rsidR="002825E4">
              <w:rPr>
                <w:rFonts w:ascii="Calibri" w:eastAsia="Times New Roman" w:hAnsi="Calibri" w:cs="Arial"/>
                <w:color w:val="538135" w:themeColor="accent6" w:themeShade="BF"/>
                <w:sz w:val="20"/>
                <w:szCs w:val="20"/>
                <w:lang w:val="fr-FR"/>
              </w:rPr>
              <w:t>notes</w:t>
            </w:r>
            <w:r>
              <w:rPr>
                <w:rFonts w:ascii="Calibri" w:eastAsia="Times New Roman" w:hAnsi="Calibri" w:cs="Arial"/>
                <w:color w:val="538135" w:themeColor="accent6" w:themeShade="BF"/>
                <w:sz w:val="20"/>
                <w:szCs w:val="20"/>
                <w:lang w:val="fr-FR"/>
              </w:rPr>
              <w:t xml:space="preserv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information élaboré</w:t>
            </w:r>
            <w:r w:rsidR="00C26CAB">
              <w:rPr>
                <w:rFonts w:ascii="Calibri" w:eastAsia="Times New Roman" w:hAnsi="Calibri" w:cs="Arial"/>
                <w:color w:val="538135" w:themeColor="accent6" w:themeShade="BF"/>
                <w:sz w:val="20"/>
                <w:szCs w:val="20"/>
                <w:lang w:val="fr-FR"/>
              </w:rPr>
              <w:t>es</w:t>
            </w:r>
            <w:r>
              <w:rPr>
                <w:rFonts w:ascii="Calibri" w:eastAsia="Times New Roman" w:hAnsi="Calibri" w:cs="Arial"/>
                <w:color w:val="538135" w:themeColor="accent6" w:themeShade="BF"/>
                <w:sz w:val="20"/>
                <w:szCs w:val="20"/>
                <w:lang w:val="fr-FR"/>
              </w:rPr>
              <w:t xml:space="preserve"> et disponibles (ventilé</w:t>
            </w:r>
            <w:r w:rsidR="00C26CAB">
              <w:rPr>
                <w:rFonts w:ascii="Calibri" w:eastAsia="Times New Roman" w:hAnsi="Calibri" w:cs="Arial"/>
                <w:color w:val="538135" w:themeColor="accent6" w:themeShade="BF"/>
                <w:sz w:val="20"/>
                <w:szCs w:val="20"/>
                <w:lang w:val="fr-FR"/>
              </w:rPr>
              <w:t>e</w:t>
            </w:r>
            <w:r>
              <w:rPr>
                <w:rFonts w:ascii="Calibri" w:eastAsia="Times New Roman" w:hAnsi="Calibri" w:cs="Arial"/>
                <w:color w:val="538135" w:themeColor="accent6" w:themeShade="BF"/>
                <w:sz w:val="20"/>
                <w:szCs w:val="20"/>
                <w:lang w:val="fr-FR"/>
              </w:rPr>
              <w:t xml:space="preserve">s par thème) </w:t>
            </w:r>
          </w:p>
        </w:tc>
      </w:tr>
      <w:tr w:rsidR="00827251" w:rsidRPr="00880085" w14:paraId="60314069" w14:textId="77777777" w:rsidTr="00151E80">
        <w:trPr>
          <w:trHeight w:val="85"/>
        </w:trPr>
        <w:tc>
          <w:tcPr>
            <w:tcW w:w="628" w:type="pct"/>
            <w:vMerge/>
            <w:shd w:val="clear" w:color="auto" w:fill="FFFFFF" w:themeFill="background1"/>
          </w:tcPr>
          <w:p w14:paraId="33FA64AA" w14:textId="0E548192" w:rsidR="00827251" w:rsidRPr="00BD3D80" w:rsidRDefault="00827251" w:rsidP="00E644E8">
            <w:pPr>
              <w:spacing w:after="0" w:line="240" w:lineRule="auto"/>
              <w:jc w:val="center"/>
              <w:rPr>
                <w:rFonts w:ascii="Calibri" w:eastAsia="Times New Roman" w:hAnsi="Calibri" w:cs="Arial"/>
                <w:sz w:val="20"/>
                <w:szCs w:val="20"/>
                <w:lang w:val="fr-FR"/>
              </w:rPr>
            </w:pPr>
          </w:p>
        </w:tc>
        <w:tc>
          <w:tcPr>
            <w:tcW w:w="1668" w:type="pct"/>
            <w:shd w:val="clear" w:color="auto" w:fill="FFFFFF" w:themeFill="background1"/>
            <w:vAlign w:val="center"/>
          </w:tcPr>
          <w:p w14:paraId="7BA083FE" w14:textId="5BE1561E" w:rsidR="00827251" w:rsidRPr="00BD3D80" w:rsidRDefault="00827251" w:rsidP="006C3018">
            <w:p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 xml:space="preserve">4.2.2. Une analyse des </w:t>
            </w:r>
            <w:r>
              <w:rPr>
                <w:rFonts w:ascii="Calibri" w:eastAsia="Times New Roman" w:hAnsi="Calibri" w:cs="Arial"/>
                <w:b/>
                <w:bCs/>
                <w:sz w:val="20"/>
                <w:szCs w:val="20"/>
                <w:lang w:val="fr-FR"/>
              </w:rPr>
              <w:t>lignes directrices</w:t>
            </w:r>
            <w:r>
              <w:rPr>
                <w:rFonts w:ascii="Calibri" w:eastAsia="Times New Roman" w:hAnsi="Calibri" w:cs="Arial"/>
                <w:sz w:val="20"/>
                <w:szCs w:val="20"/>
                <w:lang w:val="fr-FR"/>
              </w:rPr>
              <w:t xml:space="preserve"> et des cadres </w:t>
            </w:r>
            <w:r>
              <w:rPr>
                <w:rFonts w:ascii="Calibri" w:eastAsia="Times New Roman" w:hAnsi="Calibri" w:cs="Arial"/>
                <w:b/>
                <w:bCs/>
                <w:sz w:val="20"/>
                <w:szCs w:val="20"/>
                <w:lang w:val="fr-FR"/>
              </w:rPr>
              <w:t xml:space="preserve">globaux </w:t>
            </w:r>
            <w:r>
              <w:rPr>
                <w:rFonts w:ascii="Calibri" w:eastAsia="Times New Roman" w:hAnsi="Calibri" w:cs="Arial"/>
                <w:sz w:val="20"/>
                <w:szCs w:val="20"/>
                <w:lang w:val="fr-FR"/>
              </w:rPr>
              <w:t>est réalisée et accompagnée d</w:t>
            </w:r>
            <w:r w:rsidR="002C54BD">
              <w:rPr>
                <w:rFonts w:ascii="Calibri" w:eastAsia="Times New Roman" w:hAnsi="Calibri" w:cs="Arial"/>
                <w:sz w:val="20"/>
                <w:szCs w:val="20"/>
                <w:lang w:val="fr-FR"/>
              </w:rPr>
              <w:t>’</w:t>
            </w:r>
            <w:r>
              <w:rPr>
                <w:rFonts w:ascii="Calibri" w:eastAsia="Times New Roman" w:hAnsi="Calibri" w:cs="Arial"/>
                <w:sz w:val="20"/>
                <w:szCs w:val="20"/>
                <w:lang w:val="fr-FR"/>
              </w:rPr>
              <w:t>exemples de mise en œuvre</w:t>
            </w:r>
          </w:p>
        </w:tc>
        <w:tc>
          <w:tcPr>
            <w:tcW w:w="2704" w:type="pct"/>
            <w:shd w:val="clear" w:color="auto" w:fill="FFFFFF" w:themeFill="background1"/>
            <w:vAlign w:val="center"/>
          </w:tcPr>
          <w:p w14:paraId="2E39BDDE" w14:textId="2DCE23E3" w:rsidR="00827251" w:rsidRPr="00BD3D80" w:rsidRDefault="00827251" w:rsidP="00DC3E3F">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de documents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orientation produits sur les principaux cadres mondiaux reflétant les meilleures pratiques, les défis et les opportunités</w:t>
            </w:r>
          </w:p>
          <w:p w14:paraId="57F4AA2C" w14:textId="1B685A9F" w:rsidR="00DC3E3F" w:rsidRPr="00BD3D80" w:rsidRDefault="00DC3E3F" w:rsidP="00B53EAE">
            <w:pPr>
              <w:pStyle w:val="ListParagraph"/>
              <w:rPr>
                <w:rFonts w:eastAsia="Times New Roman" w:cs="Arial"/>
                <w:color w:val="000000"/>
                <w:sz w:val="20"/>
                <w:szCs w:val="20"/>
                <w:lang w:val="fr-FR"/>
              </w:rPr>
            </w:pPr>
          </w:p>
        </w:tc>
      </w:tr>
      <w:tr w:rsidR="00827251" w:rsidRPr="00880085" w14:paraId="68C1F34E" w14:textId="77777777" w:rsidTr="00151E80">
        <w:trPr>
          <w:trHeight w:val="85"/>
        </w:trPr>
        <w:tc>
          <w:tcPr>
            <w:tcW w:w="628" w:type="pct"/>
            <w:vMerge/>
            <w:shd w:val="clear" w:color="auto" w:fill="FFFFFF" w:themeFill="background1"/>
          </w:tcPr>
          <w:p w14:paraId="6E10DE4C" w14:textId="2A603810" w:rsidR="00827251" w:rsidRPr="00BD3D80" w:rsidRDefault="00827251" w:rsidP="00E644E8">
            <w:pPr>
              <w:spacing w:after="0" w:line="240" w:lineRule="auto"/>
              <w:jc w:val="center"/>
              <w:rPr>
                <w:rFonts w:ascii="Calibri" w:eastAsia="Times New Roman" w:hAnsi="Calibri" w:cs="Arial"/>
                <w:sz w:val="20"/>
                <w:szCs w:val="20"/>
                <w:lang w:val="fr-FR"/>
              </w:rPr>
            </w:pPr>
          </w:p>
        </w:tc>
        <w:tc>
          <w:tcPr>
            <w:tcW w:w="1668" w:type="pct"/>
            <w:vMerge w:val="restart"/>
            <w:shd w:val="clear" w:color="auto" w:fill="FFFFFF" w:themeFill="background1"/>
            <w:vAlign w:val="center"/>
            <w:hideMark/>
          </w:tcPr>
          <w:p w14:paraId="22E9359A" w14:textId="4CE8BA41" w:rsidR="00827251" w:rsidRPr="00BD3D80" w:rsidRDefault="00827251" w:rsidP="006C3018">
            <w:p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4.2.3. Les expériences des alliances de la société civile (et des ambassadeurs de la jeunesse) sont mentionnées dans des rapports mondiaux, travaux de réflexion et autres matériels de communication influents (lien avec le</w:t>
            </w:r>
            <w:r w:rsidR="002825E4">
              <w:rPr>
                <w:rFonts w:ascii="Calibri" w:eastAsia="Times New Roman" w:hAnsi="Calibri" w:cs="Arial"/>
                <w:sz w:val="20"/>
                <w:szCs w:val="20"/>
                <w:lang w:val="fr-FR"/>
              </w:rPr>
              <w:t>s</w:t>
            </w:r>
            <w:r>
              <w:rPr>
                <w:rFonts w:ascii="Calibri" w:eastAsia="Times New Roman" w:hAnsi="Calibri" w:cs="Arial"/>
                <w:sz w:val="20"/>
                <w:szCs w:val="20"/>
                <w:lang w:val="fr-FR"/>
              </w:rPr>
              <w:t xml:space="preserve"> </w:t>
            </w:r>
            <w:r w:rsidR="00BB74DB">
              <w:rPr>
                <w:rFonts w:ascii="Calibri" w:eastAsia="Times New Roman" w:hAnsi="Calibri" w:cs="Arial"/>
                <w:sz w:val="20"/>
                <w:szCs w:val="20"/>
                <w:lang w:val="fr-FR"/>
              </w:rPr>
              <w:t>fonds communs</w:t>
            </w:r>
            <w:r w:rsidR="002C54BD">
              <w:rPr>
                <w:rFonts w:ascii="Calibri" w:eastAsia="Times New Roman" w:hAnsi="Calibri" w:cs="Arial"/>
                <w:sz w:val="20"/>
                <w:szCs w:val="20"/>
                <w:lang w:val="fr-FR"/>
              </w:rPr>
              <w:t> </w:t>
            </w:r>
            <w:r>
              <w:rPr>
                <w:rFonts w:ascii="Calibri" w:eastAsia="Times New Roman" w:hAnsi="Calibri" w:cs="Arial"/>
                <w:sz w:val="20"/>
                <w:szCs w:val="20"/>
                <w:lang w:val="fr-FR"/>
              </w:rPr>
              <w:t>3.3).</w:t>
            </w:r>
          </w:p>
        </w:tc>
        <w:tc>
          <w:tcPr>
            <w:tcW w:w="2704" w:type="pct"/>
            <w:shd w:val="clear" w:color="auto" w:fill="FFFFFF" w:themeFill="background1"/>
            <w:vAlign w:val="center"/>
            <w:hideMark/>
          </w:tcPr>
          <w:p w14:paraId="67BA14EF" w14:textId="77777777"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 xml:space="preserve">Nombre de rapports mondiaux et de documents de réflexion publiés présentant des études de cas des ASC </w:t>
            </w:r>
          </w:p>
        </w:tc>
      </w:tr>
      <w:tr w:rsidR="00827251" w:rsidRPr="00880085" w14:paraId="5F052191" w14:textId="77777777" w:rsidTr="00151E80">
        <w:trPr>
          <w:trHeight w:val="251"/>
        </w:trPr>
        <w:tc>
          <w:tcPr>
            <w:tcW w:w="628" w:type="pct"/>
            <w:vMerge/>
            <w:shd w:val="clear" w:color="auto" w:fill="FFFFFF" w:themeFill="background1"/>
          </w:tcPr>
          <w:p w14:paraId="10CA7A50" w14:textId="77777777" w:rsidR="00827251" w:rsidRPr="00BD3D80" w:rsidRDefault="00827251" w:rsidP="00E644E8">
            <w:pPr>
              <w:spacing w:after="0" w:line="240" w:lineRule="auto"/>
              <w:jc w:val="center"/>
              <w:rPr>
                <w:rFonts w:ascii="Calibri" w:eastAsia="Times New Roman" w:hAnsi="Calibri" w:cs="Arial"/>
                <w:sz w:val="20"/>
                <w:szCs w:val="20"/>
                <w:lang w:val="fr-FR"/>
              </w:rPr>
            </w:pPr>
          </w:p>
        </w:tc>
        <w:tc>
          <w:tcPr>
            <w:tcW w:w="1668" w:type="pct"/>
            <w:vMerge/>
            <w:shd w:val="clear" w:color="auto" w:fill="FFFFFF" w:themeFill="background1"/>
            <w:vAlign w:val="center"/>
            <w:hideMark/>
          </w:tcPr>
          <w:p w14:paraId="739FF969" w14:textId="182CFBF4" w:rsidR="00827251" w:rsidRPr="00BD3D80" w:rsidRDefault="00827251" w:rsidP="00E644E8">
            <w:pPr>
              <w:spacing w:after="0" w:line="240" w:lineRule="auto"/>
              <w:jc w:val="center"/>
              <w:rPr>
                <w:rFonts w:ascii="Calibri" w:eastAsia="Times New Roman" w:hAnsi="Calibri" w:cs="Arial"/>
                <w:sz w:val="20"/>
                <w:szCs w:val="20"/>
                <w:lang w:val="fr-FR"/>
              </w:rPr>
            </w:pPr>
          </w:p>
        </w:tc>
        <w:tc>
          <w:tcPr>
            <w:tcW w:w="2704" w:type="pct"/>
            <w:shd w:val="clear" w:color="auto" w:fill="FFFFFF" w:themeFill="background1"/>
            <w:vAlign w:val="center"/>
            <w:hideMark/>
          </w:tcPr>
          <w:p w14:paraId="26DAF93C" w14:textId="05D52127"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de représentants des ASC qui participent à des campagnes mondiales ou régionales</w:t>
            </w:r>
          </w:p>
          <w:p w14:paraId="1D3237E1" w14:textId="2BAAAF88"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sz w:val="20"/>
                <w:szCs w:val="20"/>
                <w:lang w:val="fr-FR"/>
              </w:rPr>
              <w:t xml:space="preserve">Nombre de campagnes régionales </w:t>
            </w:r>
            <w:r w:rsidR="000204BE">
              <w:rPr>
                <w:rFonts w:ascii="Calibri" w:eastAsia="Times New Roman" w:hAnsi="Calibri" w:cs="Arial"/>
                <w:sz w:val="20"/>
                <w:szCs w:val="20"/>
                <w:lang w:val="fr-FR"/>
              </w:rPr>
              <w:t xml:space="preserve">ou </w:t>
            </w:r>
            <w:r>
              <w:rPr>
                <w:rFonts w:ascii="Calibri" w:eastAsia="Times New Roman" w:hAnsi="Calibri" w:cs="Arial"/>
                <w:sz w:val="20"/>
                <w:szCs w:val="20"/>
                <w:lang w:val="fr-FR"/>
              </w:rPr>
              <w:t xml:space="preserve">mondiales </w:t>
            </w:r>
            <w:r w:rsidR="000204BE">
              <w:rPr>
                <w:rFonts w:ascii="Calibri" w:eastAsia="Times New Roman" w:hAnsi="Calibri" w:cs="Arial"/>
                <w:sz w:val="20"/>
                <w:szCs w:val="20"/>
                <w:lang w:val="fr-FR"/>
              </w:rPr>
              <w:t>auxquelles participent les</w:t>
            </w:r>
            <w:r>
              <w:rPr>
                <w:rFonts w:ascii="Calibri" w:eastAsia="Times New Roman" w:hAnsi="Calibri" w:cs="Arial"/>
                <w:sz w:val="20"/>
                <w:szCs w:val="20"/>
                <w:lang w:val="fr-FR"/>
              </w:rPr>
              <w:t xml:space="preserve"> ASC (n</w:t>
            </w:r>
            <w:r w:rsidR="000204BE">
              <w:rPr>
                <w:rFonts w:ascii="Calibri" w:eastAsia="Times New Roman" w:hAnsi="Calibri" w:cs="Arial"/>
                <w:sz w:val="20"/>
                <w:szCs w:val="20"/>
                <w:lang w:val="fr-FR"/>
              </w:rPr>
              <w:t>ombre</w:t>
            </w:r>
            <w:r>
              <w:rPr>
                <w:rFonts w:ascii="Calibri" w:eastAsia="Times New Roman" w:hAnsi="Calibri" w:cs="Arial"/>
                <w:sz w:val="20"/>
                <w:szCs w:val="20"/>
                <w:lang w:val="fr-FR"/>
              </w:rPr>
              <w:t xml:space="preserve"> et nom</w:t>
            </w:r>
            <w:r w:rsidR="000204BE">
              <w:rPr>
                <w:rFonts w:ascii="Calibri" w:eastAsia="Times New Roman" w:hAnsi="Calibri" w:cs="Arial"/>
                <w:sz w:val="20"/>
                <w:szCs w:val="20"/>
                <w:lang w:val="fr-FR"/>
              </w:rPr>
              <w:t>s</w:t>
            </w:r>
            <w:r>
              <w:rPr>
                <w:rFonts w:ascii="Calibri" w:eastAsia="Times New Roman" w:hAnsi="Calibri" w:cs="Arial"/>
                <w:sz w:val="20"/>
                <w:szCs w:val="20"/>
                <w:lang w:val="fr-FR"/>
              </w:rPr>
              <w:t xml:space="preserve"> de</w:t>
            </w:r>
            <w:r w:rsidR="000204BE">
              <w:rPr>
                <w:rFonts w:ascii="Calibri" w:eastAsia="Times New Roman" w:hAnsi="Calibri" w:cs="Arial"/>
                <w:sz w:val="20"/>
                <w:szCs w:val="20"/>
                <w:lang w:val="fr-FR"/>
              </w:rPr>
              <w:t>s</w:t>
            </w:r>
            <w:r>
              <w:rPr>
                <w:rFonts w:ascii="Calibri" w:eastAsia="Times New Roman" w:hAnsi="Calibri" w:cs="Arial"/>
                <w:sz w:val="20"/>
                <w:szCs w:val="20"/>
                <w:lang w:val="fr-FR"/>
              </w:rPr>
              <w:t xml:space="preserve"> campagne</w:t>
            </w:r>
            <w:r w:rsidR="000204BE">
              <w:rPr>
                <w:rFonts w:ascii="Calibri" w:eastAsia="Times New Roman" w:hAnsi="Calibri" w:cs="Arial"/>
                <w:sz w:val="20"/>
                <w:szCs w:val="20"/>
                <w:lang w:val="fr-FR"/>
              </w:rPr>
              <w:t>s</w:t>
            </w:r>
            <w:r>
              <w:rPr>
                <w:rFonts w:ascii="Calibri" w:eastAsia="Times New Roman" w:hAnsi="Calibri" w:cs="Arial"/>
                <w:sz w:val="20"/>
                <w:szCs w:val="20"/>
                <w:lang w:val="fr-FR"/>
              </w:rPr>
              <w:t>)</w:t>
            </w:r>
          </w:p>
          <w:p w14:paraId="55DBD61D" w14:textId="46BD9954" w:rsidR="00DC3E3F" w:rsidRPr="00BD3D80" w:rsidRDefault="00DC3E3F"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eastAsia="Times New Roman" w:cs="Arial"/>
                <w:color w:val="000000"/>
                <w:sz w:val="20"/>
                <w:szCs w:val="20"/>
                <w:lang w:val="fr-FR"/>
              </w:rPr>
              <w:t xml:space="preserve">Nombre des OSC infranationales qui fournissent </w:t>
            </w:r>
            <w:r w:rsidR="00A50BFA">
              <w:rPr>
                <w:rFonts w:eastAsia="Times New Roman" w:cs="Arial"/>
                <w:color w:val="000000"/>
                <w:sz w:val="20"/>
                <w:szCs w:val="20"/>
                <w:lang w:val="fr-FR"/>
              </w:rPr>
              <w:t xml:space="preserve">aux ASC </w:t>
            </w:r>
            <w:r>
              <w:rPr>
                <w:rFonts w:eastAsia="Times New Roman" w:cs="Arial"/>
                <w:color w:val="000000"/>
                <w:sz w:val="20"/>
                <w:szCs w:val="20"/>
                <w:lang w:val="fr-FR"/>
              </w:rPr>
              <w:t xml:space="preserve">les contributions de qualité nécessaires pour guider les mécanismes de </w:t>
            </w:r>
            <w:r w:rsidR="00A50BFA">
              <w:rPr>
                <w:rFonts w:eastAsia="Times New Roman" w:cs="Arial"/>
                <w:color w:val="000000"/>
                <w:sz w:val="20"/>
                <w:szCs w:val="20"/>
                <w:lang w:val="fr-FR"/>
              </w:rPr>
              <w:t xml:space="preserve">présentation de rapports </w:t>
            </w:r>
            <w:r>
              <w:rPr>
                <w:rFonts w:eastAsia="Times New Roman" w:cs="Arial"/>
                <w:color w:val="000000"/>
                <w:sz w:val="20"/>
                <w:szCs w:val="20"/>
                <w:lang w:val="fr-FR"/>
              </w:rPr>
              <w:t>nationaux ou mondiaux, par exemple le rapport annuel d</w:t>
            </w:r>
            <w:r w:rsidR="002C54BD">
              <w:rPr>
                <w:rFonts w:eastAsia="Times New Roman" w:cs="Arial"/>
                <w:color w:val="000000"/>
                <w:sz w:val="20"/>
                <w:szCs w:val="20"/>
                <w:lang w:val="fr-FR"/>
              </w:rPr>
              <w:t>’</w:t>
            </w:r>
            <w:r>
              <w:rPr>
                <w:rFonts w:eastAsia="Times New Roman" w:cs="Arial"/>
                <w:color w:val="000000"/>
                <w:sz w:val="20"/>
                <w:szCs w:val="20"/>
                <w:lang w:val="fr-FR"/>
              </w:rPr>
              <w:t>avancement du mouvement SUN, le rapport mondial sur la nutrition (</w:t>
            </w:r>
            <w:r w:rsidR="00BB74DB">
              <w:rPr>
                <w:rFonts w:eastAsia="Times New Roman" w:cs="Arial"/>
                <w:color w:val="000000"/>
                <w:sz w:val="20"/>
                <w:szCs w:val="20"/>
                <w:lang w:val="fr-FR"/>
              </w:rPr>
              <w:t>fonds communs</w:t>
            </w:r>
            <w:r>
              <w:rPr>
                <w:rFonts w:eastAsia="Times New Roman" w:cs="Arial"/>
                <w:color w:val="000000"/>
                <w:sz w:val="20"/>
                <w:szCs w:val="20"/>
                <w:lang w:val="fr-FR"/>
              </w:rPr>
              <w:t xml:space="preserve"> Produit</w:t>
            </w:r>
            <w:r w:rsidR="002C54BD">
              <w:rPr>
                <w:rFonts w:eastAsia="Times New Roman" w:cs="Arial"/>
                <w:color w:val="000000"/>
                <w:sz w:val="20"/>
                <w:szCs w:val="20"/>
                <w:lang w:val="fr-FR"/>
              </w:rPr>
              <w:t> </w:t>
            </w:r>
            <w:r>
              <w:rPr>
                <w:rFonts w:eastAsia="Times New Roman" w:cs="Arial"/>
                <w:color w:val="000000"/>
                <w:sz w:val="20"/>
                <w:szCs w:val="20"/>
                <w:lang w:val="fr-FR"/>
              </w:rPr>
              <w:t xml:space="preserve">3.3.1) </w:t>
            </w:r>
          </w:p>
          <w:p w14:paraId="21109ADF" w14:textId="68316A0D" w:rsidR="00DC3E3F" w:rsidRPr="00BD3D80" w:rsidRDefault="00DC3E3F" w:rsidP="00DC3E3F">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 xml:space="preserve">Nombre des rapports reçus des OSC infranationales utilisés par les ASC pour guider les mécanismes de </w:t>
            </w:r>
            <w:r w:rsidR="00A50BFA">
              <w:rPr>
                <w:rFonts w:ascii="Calibri" w:eastAsia="Times New Roman" w:hAnsi="Calibri" w:cs="Arial"/>
                <w:color w:val="538135" w:themeColor="accent6" w:themeShade="BF"/>
                <w:sz w:val="20"/>
                <w:szCs w:val="20"/>
                <w:lang w:val="fr-FR"/>
              </w:rPr>
              <w:t>présentation de rapports</w:t>
            </w:r>
            <w:r>
              <w:rPr>
                <w:rFonts w:ascii="Calibri" w:eastAsia="Times New Roman" w:hAnsi="Calibri" w:cs="Arial"/>
                <w:color w:val="538135" w:themeColor="accent6" w:themeShade="BF"/>
                <w:sz w:val="20"/>
                <w:szCs w:val="20"/>
                <w:lang w:val="fr-FR"/>
              </w:rPr>
              <w:t xml:space="preserve"> nationaux ou mondiaux, par exemple le rapport annuel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avancement du mouvement SUN, le rapport mondial sur la nutrition </w:t>
            </w:r>
            <w:r>
              <w:rPr>
                <w:rFonts w:eastAsia="Times New Roman" w:cs="Arial"/>
                <w:color w:val="000000"/>
                <w:sz w:val="20"/>
                <w:szCs w:val="20"/>
                <w:lang w:val="fr-FR"/>
              </w:rPr>
              <w:t>(</w:t>
            </w:r>
            <w:r w:rsidR="00BB74DB">
              <w:rPr>
                <w:rFonts w:eastAsia="Times New Roman" w:cs="Arial"/>
                <w:color w:val="000000"/>
                <w:sz w:val="20"/>
                <w:szCs w:val="20"/>
                <w:lang w:val="fr-FR"/>
              </w:rPr>
              <w:t>fonds communs</w:t>
            </w:r>
            <w:r>
              <w:rPr>
                <w:rFonts w:eastAsia="Times New Roman" w:cs="Arial"/>
                <w:color w:val="000000"/>
                <w:sz w:val="20"/>
                <w:szCs w:val="20"/>
                <w:lang w:val="fr-FR"/>
              </w:rPr>
              <w:t xml:space="preserve"> Produit</w:t>
            </w:r>
            <w:r w:rsidR="002C54BD">
              <w:rPr>
                <w:rFonts w:eastAsia="Times New Roman" w:cs="Arial"/>
                <w:color w:val="000000"/>
                <w:sz w:val="20"/>
                <w:szCs w:val="20"/>
                <w:lang w:val="fr-FR"/>
              </w:rPr>
              <w:t> </w:t>
            </w:r>
            <w:r>
              <w:rPr>
                <w:rFonts w:eastAsia="Times New Roman" w:cs="Arial"/>
                <w:color w:val="000000"/>
                <w:sz w:val="20"/>
                <w:szCs w:val="20"/>
                <w:lang w:val="fr-FR"/>
              </w:rPr>
              <w:t>3.3.2)</w:t>
            </w:r>
          </w:p>
          <w:p w14:paraId="5B301792" w14:textId="6B9648A5" w:rsidR="0071544E" w:rsidRPr="00BD3D80" w:rsidRDefault="0071544E" w:rsidP="00DC3E3F">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de rapports ou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articles publiés incluant des expériences du RSC (ASC et jeunes), soutenus par le Secrétariat du </w:t>
            </w:r>
            <w:r w:rsidR="00A50BFA">
              <w:rPr>
                <w:rFonts w:ascii="Calibri" w:eastAsia="Times New Roman" w:hAnsi="Calibri" w:cs="Arial"/>
                <w:color w:val="538135" w:themeColor="accent6" w:themeShade="BF"/>
                <w:sz w:val="20"/>
                <w:szCs w:val="20"/>
                <w:lang w:val="fr-FR"/>
              </w:rPr>
              <w:t>RSC</w:t>
            </w:r>
          </w:p>
        </w:tc>
      </w:tr>
      <w:tr w:rsidR="00827251" w:rsidRPr="00880085" w14:paraId="2C359742" w14:textId="77777777" w:rsidTr="00151E80">
        <w:trPr>
          <w:trHeight w:val="70"/>
        </w:trPr>
        <w:tc>
          <w:tcPr>
            <w:tcW w:w="628" w:type="pct"/>
            <w:vMerge/>
            <w:shd w:val="clear" w:color="auto" w:fill="FFFFFF" w:themeFill="background1"/>
          </w:tcPr>
          <w:p w14:paraId="2B7EB501" w14:textId="77777777" w:rsidR="00827251" w:rsidRPr="00BD3D80" w:rsidRDefault="00827251" w:rsidP="00E644E8">
            <w:pPr>
              <w:spacing w:after="0" w:line="240" w:lineRule="auto"/>
              <w:jc w:val="center"/>
              <w:rPr>
                <w:rFonts w:ascii="Calibri" w:eastAsia="Times New Roman" w:hAnsi="Calibri" w:cs="Arial"/>
                <w:sz w:val="20"/>
                <w:szCs w:val="20"/>
                <w:lang w:val="fr-FR"/>
              </w:rPr>
            </w:pPr>
          </w:p>
        </w:tc>
        <w:tc>
          <w:tcPr>
            <w:tcW w:w="1668" w:type="pct"/>
            <w:vMerge w:val="restart"/>
            <w:shd w:val="clear" w:color="auto" w:fill="FFFFFF" w:themeFill="background1"/>
            <w:vAlign w:val="center"/>
            <w:hideMark/>
          </w:tcPr>
          <w:p w14:paraId="6E28C7DD" w14:textId="138A86FB" w:rsidR="00827251" w:rsidRPr="00BD3D80" w:rsidRDefault="00827251" w:rsidP="00D659C6">
            <w:p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4.2.4 Les études de cas du RSC sont promues en ligne et par l</w:t>
            </w:r>
            <w:r w:rsidR="002C54BD">
              <w:rPr>
                <w:rFonts w:ascii="Calibri" w:eastAsia="Times New Roman" w:hAnsi="Calibri" w:cs="Arial"/>
                <w:sz w:val="20"/>
                <w:szCs w:val="20"/>
                <w:lang w:val="fr-FR"/>
              </w:rPr>
              <w:t>’</w:t>
            </w:r>
            <w:r>
              <w:rPr>
                <w:rFonts w:ascii="Calibri" w:eastAsia="Times New Roman" w:hAnsi="Calibri" w:cs="Arial"/>
                <w:sz w:val="20"/>
                <w:szCs w:val="20"/>
                <w:lang w:val="fr-FR"/>
              </w:rPr>
              <w:t>intermédiaire des médias (également par le biais du prix de l</w:t>
            </w:r>
            <w:r w:rsidR="002C54BD">
              <w:rPr>
                <w:rFonts w:ascii="Calibri" w:eastAsia="Times New Roman" w:hAnsi="Calibri" w:cs="Arial"/>
                <w:sz w:val="20"/>
                <w:szCs w:val="20"/>
                <w:lang w:val="fr-FR"/>
              </w:rPr>
              <w:t>’</w:t>
            </w:r>
            <w:r>
              <w:rPr>
                <w:rFonts w:ascii="Calibri" w:eastAsia="Times New Roman" w:hAnsi="Calibri" w:cs="Arial"/>
                <w:sz w:val="20"/>
                <w:szCs w:val="20"/>
                <w:lang w:val="fr-FR"/>
              </w:rPr>
              <w:t xml:space="preserve">innovation et de la recherche du </w:t>
            </w:r>
            <w:r w:rsidR="00716DEB">
              <w:rPr>
                <w:rFonts w:ascii="Calibri" w:eastAsia="Times New Roman" w:hAnsi="Calibri" w:cs="Arial"/>
                <w:sz w:val="20"/>
                <w:szCs w:val="20"/>
                <w:lang w:val="fr-FR"/>
              </w:rPr>
              <w:t xml:space="preserve">Réseau de la société civile </w:t>
            </w:r>
            <w:r>
              <w:rPr>
                <w:rFonts w:ascii="Calibri" w:eastAsia="Times New Roman" w:hAnsi="Calibri" w:cs="Arial"/>
                <w:sz w:val="20"/>
                <w:szCs w:val="20"/>
                <w:lang w:val="fr-FR"/>
              </w:rPr>
              <w:t>du mouvement SUN)</w:t>
            </w:r>
          </w:p>
          <w:p w14:paraId="2D886764" w14:textId="77777777" w:rsidR="00827251" w:rsidRPr="00BD3D80" w:rsidRDefault="00827251" w:rsidP="00D659C6">
            <w:p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 </w:t>
            </w:r>
          </w:p>
          <w:p w14:paraId="64F335C7" w14:textId="77777777" w:rsidR="00827251" w:rsidRPr="00BD3D80" w:rsidRDefault="00827251" w:rsidP="00D659C6">
            <w:p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 </w:t>
            </w:r>
          </w:p>
        </w:tc>
        <w:tc>
          <w:tcPr>
            <w:tcW w:w="2704" w:type="pct"/>
            <w:shd w:val="clear" w:color="auto" w:fill="FFFFFF" w:themeFill="background1"/>
            <w:vAlign w:val="center"/>
            <w:hideMark/>
          </w:tcPr>
          <w:p w14:paraId="6162F3F3" w14:textId="0C741A42"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 xml:space="preserve">Diffusion et adaptation des lignes directrices des Nations </w:t>
            </w:r>
            <w:r w:rsidR="00D659C6">
              <w:rPr>
                <w:rFonts w:ascii="Calibri" w:eastAsia="Times New Roman" w:hAnsi="Calibri" w:cs="Arial"/>
                <w:color w:val="538135" w:themeColor="accent6" w:themeShade="BF"/>
                <w:sz w:val="20"/>
                <w:szCs w:val="20"/>
                <w:lang w:val="fr-FR"/>
              </w:rPr>
              <w:t>U</w:t>
            </w:r>
            <w:r>
              <w:rPr>
                <w:rFonts w:ascii="Calibri" w:eastAsia="Times New Roman" w:hAnsi="Calibri" w:cs="Arial"/>
                <w:color w:val="538135" w:themeColor="accent6" w:themeShade="BF"/>
                <w:sz w:val="20"/>
                <w:szCs w:val="20"/>
                <w:lang w:val="fr-FR"/>
              </w:rPr>
              <w:t xml:space="preserve">nies pour les </w:t>
            </w:r>
            <w:r w:rsidR="0029661A">
              <w:rPr>
                <w:rFonts w:ascii="Calibri" w:eastAsia="Times New Roman" w:hAnsi="Calibri" w:cs="Arial"/>
                <w:color w:val="538135" w:themeColor="accent6" w:themeShade="BF"/>
                <w:sz w:val="20"/>
                <w:szCs w:val="20"/>
                <w:lang w:val="fr-FR"/>
              </w:rPr>
              <w:t>plans nationaux de nutrition</w:t>
            </w:r>
            <w:r>
              <w:rPr>
                <w:rFonts w:ascii="Calibri" w:eastAsia="Times New Roman" w:hAnsi="Calibri" w:cs="Arial"/>
                <w:color w:val="538135" w:themeColor="accent6" w:themeShade="BF"/>
                <w:sz w:val="20"/>
                <w:szCs w:val="20"/>
                <w:lang w:val="fr-FR"/>
              </w:rPr>
              <w:t xml:space="preserve"> à l</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usage des ASC</w:t>
            </w:r>
          </w:p>
        </w:tc>
      </w:tr>
      <w:tr w:rsidR="00827251" w:rsidRPr="00880085" w14:paraId="2FED2409" w14:textId="77777777" w:rsidTr="00151E80">
        <w:trPr>
          <w:trHeight w:val="600"/>
        </w:trPr>
        <w:tc>
          <w:tcPr>
            <w:tcW w:w="628" w:type="pct"/>
            <w:vMerge/>
            <w:shd w:val="clear" w:color="auto" w:fill="FFFFFF" w:themeFill="background1"/>
          </w:tcPr>
          <w:p w14:paraId="18C2A6E3" w14:textId="77777777" w:rsidR="00827251" w:rsidRPr="00BD3D80" w:rsidRDefault="00827251" w:rsidP="00E644E8">
            <w:pPr>
              <w:spacing w:after="0" w:line="240" w:lineRule="auto"/>
              <w:jc w:val="center"/>
              <w:rPr>
                <w:rFonts w:ascii="Calibri" w:eastAsia="Times New Roman" w:hAnsi="Calibri" w:cs="Arial"/>
                <w:sz w:val="20"/>
                <w:szCs w:val="20"/>
                <w:lang w:val="fr-FR"/>
              </w:rPr>
            </w:pPr>
          </w:p>
        </w:tc>
        <w:tc>
          <w:tcPr>
            <w:tcW w:w="1668" w:type="pct"/>
            <w:vMerge/>
            <w:shd w:val="clear" w:color="auto" w:fill="FFFFFF" w:themeFill="background1"/>
            <w:vAlign w:val="center"/>
            <w:hideMark/>
          </w:tcPr>
          <w:p w14:paraId="1EF87A9F" w14:textId="36F2B97C" w:rsidR="00827251" w:rsidRPr="00BD3D80" w:rsidRDefault="00827251" w:rsidP="00D659C6">
            <w:pPr>
              <w:spacing w:after="0" w:line="240" w:lineRule="auto"/>
              <w:rPr>
                <w:rFonts w:ascii="Calibri" w:eastAsia="Times New Roman" w:hAnsi="Calibri" w:cs="Arial"/>
                <w:sz w:val="20"/>
                <w:szCs w:val="20"/>
                <w:lang w:val="fr-FR"/>
              </w:rPr>
            </w:pPr>
          </w:p>
        </w:tc>
        <w:tc>
          <w:tcPr>
            <w:tcW w:w="2704" w:type="pct"/>
            <w:shd w:val="clear" w:color="auto" w:fill="FFFFFF" w:themeFill="background1"/>
            <w:vAlign w:val="center"/>
            <w:hideMark/>
          </w:tcPr>
          <w:p w14:paraId="01FB4678" w14:textId="3139F743"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de mentions dans les médias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expériences des ASC, p. ex. blogs, pages </w:t>
            </w:r>
            <w:r w:rsidR="002C54BD">
              <w:rPr>
                <w:rFonts w:ascii="Calibri" w:eastAsia="Times New Roman" w:hAnsi="Calibri" w:cs="Arial"/>
                <w:color w:val="538135" w:themeColor="accent6" w:themeShade="BF"/>
                <w:sz w:val="20"/>
                <w:szCs w:val="20"/>
                <w:lang w:val="fr-FR"/>
              </w:rPr>
              <w:t>Web</w:t>
            </w:r>
            <w:r>
              <w:rPr>
                <w:rFonts w:ascii="Calibri" w:eastAsia="Times New Roman" w:hAnsi="Calibri" w:cs="Arial"/>
                <w:color w:val="538135" w:themeColor="accent6" w:themeShade="BF"/>
                <w:sz w:val="20"/>
                <w:szCs w:val="20"/>
                <w:lang w:val="fr-FR"/>
              </w:rPr>
              <w:t>, etc.</w:t>
            </w:r>
          </w:p>
          <w:p w14:paraId="3D84EFB7" w14:textId="115FCD4D"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sz w:val="20"/>
                <w:szCs w:val="20"/>
                <w:lang w:val="fr-FR"/>
              </w:rPr>
              <w:t>Estimation de la couverture atteinte (nombre de personnes accédant à l</w:t>
            </w:r>
            <w:r w:rsidR="002C54BD">
              <w:rPr>
                <w:rFonts w:ascii="Calibri" w:eastAsia="Times New Roman" w:hAnsi="Calibri" w:cs="Arial"/>
                <w:sz w:val="20"/>
                <w:szCs w:val="20"/>
                <w:lang w:val="fr-FR"/>
              </w:rPr>
              <w:t>’</w:t>
            </w:r>
            <w:r>
              <w:rPr>
                <w:rFonts w:ascii="Calibri" w:eastAsia="Times New Roman" w:hAnsi="Calibri" w:cs="Arial"/>
                <w:sz w:val="20"/>
                <w:szCs w:val="20"/>
                <w:lang w:val="fr-FR"/>
              </w:rPr>
              <w:t>information ou la partageant sur les réseaux sociaux ou au moins avec un public mondial, régional, national ou infranational)</w:t>
            </w:r>
          </w:p>
        </w:tc>
      </w:tr>
      <w:tr w:rsidR="00827251" w:rsidRPr="00880085" w14:paraId="0FCD9733" w14:textId="77777777" w:rsidTr="00151E80">
        <w:trPr>
          <w:trHeight w:val="900"/>
        </w:trPr>
        <w:tc>
          <w:tcPr>
            <w:tcW w:w="628" w:type="pct"/>
            <w:vMerge/>
            <w:shd w:val="clear" w:color="auto" w:fill="FFFFFF" w:themeFill="background1"/>
          </w:tcPr>
          <w:p w14:paraId="6A035CBB" w14:textId="77777777" w:rsidR="00827251" w:rsidRPr="00BD3D80" w:rsidRDefault="00827251" w:rsidP="00E644E8">
            <w:pPr>
              <w:spacing w:after="0" w:line="240" w:lineRule="auto"/>
              <w:jc w:val="center"/>
              <w:rPr>
                <w:rFonts w:ascii="Calibri" w:eastAsia="Times New Roman" w:hAnsi="Calibri" w:cs="Arial"/>
                <w:sz w:val="20"/>
                <w:szCs w:val="20"/>
                <w:lang w:val="fr-FR"/>
              </w:rPr>
            </w:pPr>
          </w:p>
        </w:tc>
        <w:tc>
          <w:tcPr>
            <w:tcW w:w="1668" w:type="pct"/>
            <w:vMerge/>
            <w:shd w:val="clear" w:color="auto" w:fill="FFFFFF" w:themeFill="background1"/>
            <w:vAlign w:val="center"/>
            <w:hideMark/>
          </w:tcPr>
          <w:p w14:paraId="378C3DF8" w14:textId="7E8907F6" w:rsidR="00827251" w:rsidRPr="00BD3D80" w:rsidRDefault="00827251" w:rsidP="00D659C6">
            <w:pPr>
              <w:spacing w:after="0" w:line="240" w:lineRule="auto"/>
              <w:rPr>
                <w:rFonts w:ascii="Calibri" w:eastAsia="Times New Roman" w:hAnsi="Calibri" w:cs="Arial"/>
                <w:sz w:val="20"/>
                <w:szCs w:val="20"/>
                <w:lang w:val="fr-FR"/>
              </w:rPr>
            </w:pPr>
          </w:p>
        </w:tc>
        <w:tc>
          <w:tcPr>
            <w:tcW w:w="2704" w:type="pct"/>
            <w:shd w:val="clear" w:color="auto" w:fill="FFFFFF" w:themeFill="background1"/>
            <w:vAlign w:val="center"/>
            <w:hideMark/>
          </w:tcPr>
          <w:p w14:paraId="1A321EA0" w14:textId="77777777"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Élaboration de recommandations sur la mise en œuvre/le suivi du code de commercialisation des substituts du lait maternel et de résolutions connexes des ASC</w:t>
            </w:r>
          </w:p>
        </w:tc>
      </w:tr>
      <w:tr w:rsidR="00827251" w:rsidRPr="00880085" w14:paraId="3EBE7757" w14:textId="77777777" w:rsidTr="00151E80">
        <w:trPr>
          <w:trHeight w:val="615"/>
        </w:trPr>
        <w:tc>
          <w:tcPr>
            <w:tcW w:w="628" w:type="pct"/>
            <w:vMerge w:val="restart"/>
            <w:shd w:val="clear" w:color="auto" w:fill="FFFFFF" w:themeFill="background1"/>
          </w:tcPr>
          <w:p w14:paraId="6630F6A7" w14:textId="079879C6" w:rsidR="00827251" w:rsidRPr="00250A20" w:rsidRDefault="00151E80" w:rsidP="00E644E8">
            <w:pPr>
              <w:spacing w:after="0" w:line="240" w:lineRule="auto"/>
              <w:jc w:val="center"/>
              <w:rPr>
                <w:rFonts w:ascii="Calibri" w:eastAsia="Times New Roman" w:hAnsi="Calibri" w:cs="Arial"/>
                <w:sz w:val="20"/>
                <w:szCs w:val="20"/>
              </w:rPr>
            </w:pPr>
            <w:r>
              <w:rPr>
                <w:rFonts w:ascii="Calibri" w:eastAsia="Times New Roman" w:hAnsi="Calibri" w:cs="Arial"/>
                <w:sz w:val="20"/>
                <w:szCs w:val="20"/>
                <w:lang w:val="fr-FR"/>
              </w:rPr>
              <w:t>Résultat intermédiaire</w:t>
            </w:r>
            <w:r w:rsidR="002C54BD">
              <w:rPr>
                <w:rFonts w:ascii="Calibri" w:eastAsia="Times New Roman" w:hAnsi="Calibri" w:cs="Arial"/>
                <w:sz w:val="20"/>
                <w:szCs w:val="20"/>
                <w:lang w:val="fr-FR"/>
              </w:rPr>
              <w:t> </w:t>
            </w:r>
            <w:r>
              <w:rPr>
                <w:rFonts w:ascii="Calibri" w:eastAsia="Times New Roman" w:hAnsi="Calibri" w:cs="Arial"/>
                <w:sz w:val="20"/>
                <w:szCs w:val="20"/>
                <w:lang w:val="fr-FR"/>
              </w:rPr>
              <w:t>4.3</w:t>
            </w:r>
          </w:p>
        </w:tc>
        <w:tc>
          <w:tcPr>
            <w:tcW w:w="1668" w:type="pct"/>
            <w:shd w:val="clear" w:color="auto" w:fill="FFFFFF" w:themeFill="background1"/>
            <w:vAlign w:val="center"/>
            <w:hideMark/>
          </w:tcPr>
          <w:p w14:paraId="5D2E4668" w14:textId="1323D3A7" w:rsidR="00827251" w:rsidRPr="00BD3D80" w:rsidRDefault="00827251" w:rsidP="00D659C6">
            <w:p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 xml:space="preserve">4.3.1. Le </w:t>
            </w:r>
            <w:r w:rsidR="00716DEB">
              <w:rPr>
                <w:rFonts w:ascii="Calibri" w:eastAsia="Times New Roman" w:hAnsi="Calibri" w:cs="Arial"/>
                <w:sz w:val="20"/>
                <w:szCs w:val="20"/>
                <w:lang w:val="fr-FR"/>
              </w:rPr>
              <w:t xml:space="preserve">Réseau de la société civile </w:t>
            </w:r>
            <w:r>
              <w:rPr>
                <w:rFonts w:ascii="Calibri" w:eastAsia="Times New Roman" w:hAnsi="Calibri" w:cs="Arial"/>
                <w:sz w:val="20"/>
                <w:szCs w:val="20"/>
                <w:lang w:val="fr-FR"/>
              </w:rPr>
              <w:t xml:space="preserve">du </w:t>
            </w:r>
            <w:r w:rsidR="00F203CF">
              <w:rPr>
                <w:rFonts w:ascii="Calibri" w:eastAsia="Times New Roman" w:hAnsi="Calibri" w:cs="Arial"/>
                <w:sz w:val="20"/>
                <w:szCs w:val="20"/>
                <w:lang w:val="fr-FR"/>
              </w:rPr>
              <w:t>M</w:t>
            </w:r>
            <w:r>
              <w:rPr>
                <w:rFonts w:ascii="Calibri" w:eastAsia="Times New Roman" w:hAnsi="Calibri" w:cs="Arial"/>
                <w:sz w:val="20"/>
                <w:szCs w:val="20"/>
                <w:lang w:val="fr-FR"/>
              </w:rPr>
              <w:t>ouvement SUN/les Alliances de la société civile du mouvement SUN collaborent efficacement avec des coalitions et des réseaux d’autres secteurs</w:t>
            </w:r>
          </w:p>
        </w:tc>
        <w:tc>
          <w:tcPr>
            <w:tcW w:w="2704" w:type="pct"/>
            <w:shd w:val="clear" w:color="auto" w:fill="FFFFFF" w:themeFill="background1"/>
            <w:vAlign w:val="center"/>
            <w:hideMark/>
          </w:tcPr>
          <w:p w14:paraId="534FFD8A" w14:textId="3337DB00" w:rsidR="00827251" w:rsidRPr="00BD3D80" w:rsidRDefault="00827251"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Nombre d</w:t>
            </w:r>
            <w:r w:rsidR="002C54BD">
              <w:rPr>
                <w:rFonts w:ascii="Calibri" w:eastAsia="Times New Roman" w:hAnsi="Calibri" w:cs="Arial"/>
                <w:sz w:val="20"/>
                <w:szCs w:val="20"/>
                <w:lang w:val="fr-FR"/>
              </w:rPr>
              <w:t>’</w:t>
            </w:r>
            <w:r>
              <w:rPr>
                <w:rFonts w:ascii="Calibri" w:eastAsia="Times New Roman" w:hAnsi="Calibri" w:cs="Arial"/>
                <w:sz w:val="20"/>
                <w:szCs w:val="20"/>
                <w:lang w:val="fr-FR"/>
              </w:rPr>
              <w:t>initiatives/plans communs avec les coalitions externes de SUN (nombre, type de coalition, type d</w:t>
            </w:r>
            <w:r w:rsidR="002C54BD">
              <w:rPr>
                <w:rFonts w:ascii="Calibri" w:eastAsia="Times New Roman" w:hAnsi="Calibri" w:cs="Arial"/>
                <w:sz w:val="20"/>
                <w:szCs w:val="20"/>
                <w:lang w:val="fr-FR"/>
              </w:rPr>
              <w:t>’</w:t>
            </w:r>
            <w:r>
              <w:rPr>
                <w:rFonts w:ascii="Calibri" w:eastAsia="Times New Roman" w:hAnsi="Calibri" w:cs="Arial"/>
                <w:sz w:val="20"/>
                <w:szCs w:val="20"/>
                <w:lang w:val="fr-FR"/>
              </w:rPr>
              <w:t>action/plan)</w:t>
            </w:r>
          </w:p>
        </w:tc>
      </w:tr>
      <w:tr w:rsidR="00827251" w:rsidRPr="00880085" w14:paraId="39B999B3" w14:textId="77777777" w:rsidTr="00151E80">
        <w:trPr>
          <w:trHeight w:val="705"/>
        </w:trPr>
        <w:tc>
          <w:tcPr>
            <w:tcW w:w="628" w:type="pct"/>
            <w:vMerge/>
            <w:shd w:val="clear" w:color="auto" w:fill="FFFFFF" w:themeFill="background1"/>
          </w:tcPr>
          <w:p w14:paraId="0376CFCC" w14:textId="77777777" w:rsidR="00827251" w:rsidRPr="00BD3D80" w:rsidRDefault="00827251" w:rsidP="00E644E8">
            <w:pPr>
              <w:spacing w:after="0" w:line="240" w:lineRule="auto"/>
              <w:jc w:val="center"/>
              <w:rPr>
                <w:rFonts w:ascii="Calibri" w:eastAsia="Times New Roman" w:hAnsi="Calibri" w:cs="Arial"/>
                <w:sz w:val="20"/>
                <w:szCs w:val="20"/>
                <w:lang w:val="fr-FR"/>
              </w:rPr>
            </w:pPr>
          </w:p>
        </w:tc>
        <w:tc>
          <w:tcPr>
            <w:tcW w:w="1668" w:type="pct"/>
            <w:shd w:val="clear" w:color="auto" w:fill="FFFFFF" w:themeFill="background1"/>
            <w:vAlign w:val="center"/>
            <w:hideMark/>
          </w:tcPr>
          <w:p w14:paraId="2BF52723" w14:textId="2DA96806" w:rsidR="00827251" w:rsidRPr="00BD3D80" w:rsidRDefault="00827251" w:rsidP="00D659C6">
            <w:p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 xml:space="preserve">4.3.2. Le </w:t>
            </w:r>
            <w:r w:rsidR="002013D5">
              <w:rPr>
                <w:rFonts w:ascii="Calibri" w:eastAsia="Times New Roman" w:hAnsi="Calibri" w:cs="Arial"/>
                <w:sz w:val="20"/>
                <w:szCs w:val="20"/>
                <w:lang w:val="fr-FR"/>
              </w:rPr>
              <w:t>RSC</w:t>
            </w:r>
            <w:r>
              <w:rPr>
                <w:rFonts w:ascii="Calibri" w:eastAsia="Times New Roman" w:hAnsi="Calibri" w:cs="Arial"/>
                <w:sz w:val="20"/>
                <w:szCs w:val="20"/>
                <w:lang w:val="fr-FR"/>
              </w:rPr>
              <w:t xml:space="preserve"> du mouvement SUN contribue à l</w:t>
            </w:r>
            <w:r w:rsidR="002C54BD">
              <w:rPr>
                <w:rFonts w:ascii="Calibri" w:eastAsia="Times New Roman" w:hAnsi="Calibri" w:cs="Arial"/>
                <w:sz w:val="20"/>
                <w:szCs w:val="20"/>
                <w:lang w:val="fr-FR"/>
              </w:rPr>
              <w:t>’</w:t>
            </w:r>
            <w:r>
              <w:rPr>
                <w:rFonts w:ascii="Calibri" w:eastAsia="Times New Roman" w:hAnsi="Calibri" w:cs="Arial"/>
                <w:sz w:val="20"/>
                <w:szCs w:val="20"/>
                <w:lang w:val="fr-FR"/>
              </w:rPr>
              <w:t xml:space="preserve">orientation stratégique du </w:t>
            </w:r>
            <w:r w:rsidR="00CA2E54">
              <w:rPr>
                <w:rFonts w:ascii="Calibri" w:eastAsia="Times New Roman" w:hAnsi="Calibri" w:cs="Arial"/>
                <w:sz w:val="20"/>
                <w:szCs w:val="20"/>
                <w:lang w:val="fr-FR"/>
              </w:rPr>
              <w:t>M</w:t>
            </w:r>
            <w:r>
              <w:rPr>
                <w:rFonts w:ascii="Calibri" w:eastAsia="Times New Roman" w:hAnsi="Calibri" w:cs="Arial"/>
                <w:sz w:val="20"/>
                <w:szCs w:val="20"/>
                <w:lang w:val="fr-FR"/>
              </w:rPr>
              <w:t>ouvement SUN en collaborant efficacement avec d’autres réseaux de SUN et un plan conjoint a été établi documentant les principaux rôles et responsabilités</w:t>
            </w:r>
          </w:p>
        </w:tc>
        <w:tc>
          <w:tcPr>
            <w:tcW w:w="2704" w:type="pct"/>
            <w:shd w:val="clear" w:color="auto" w:fill="FFFFFF" w:themeFill="background1"/>
            <w:vAlign w:val="center"/>
            <w:hideMark/>
          </w:tcPr>
          <w:p w14:paraId="5BC9ADD7" w14:textId="23440293"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Disponibilité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un plan de travail </w:t>
            </w:r>
            <w:r w:rsidR="00CA2E54">
              <w:rPr>
                <w:rFonts w:ascii="Calibri" w:eastAsia="Times New Roman" w:hAnsi="Calibri" w:cs="Arial"/>
                <w:color w:val="538135" w:themeColor="accent6" w:themeShade="BF"/>
                <w:sz w:val="20"/>
                <w:szCs w:val="20"/>
                <w:lang w:val="fr-FR"/>
              </w:rPr>
              <w:t>conjoint</w:t>
            </w:r>
            <w:r>
              <w:rPr>
                <w:rFonts w:ascii="Calibri" w:eastAsia="Times New Roman" w:hAnsi="Calibri" w:cs="Arial"/>
                <w:color w:val="538135" w:themeColor="accent6" w:themeShade="BF"/>
                <w:sz w:val="20"/>
                <w:szCs w:val="20"/>
                <w:lang w:val="fr-FR"/>
              </w:rPr>
              <w:t xml:space="preserve"> finalisé entre le </w:t>
            </w:r>
            <w:r w:rsidR="00716DEB">
              <w:rPr>
                <w:rFonts w:ascii="Calibri" w:eastAsia="Times New Roman" w:hAnsi="Calibri" w:cs="Arial"/>
                <w:color w:val="538135" w:themeColor="accent6" w:themeShade="BF"/>
                <w:sz w:val="20"/>
                <w:szCs w:val="20"/>
                <w:lang w:val="fr-FR"/>
              </w:rPr>
              <w:t xml:space="preserve">Réseau de la société civile </w:t>
            </w:r>
            <w:r>
              <w:rPr>
                <w:rFonts w:ascii="Calibri" w:eastAsia="Times New Roman" w:hAnsi="Calibri" w:cs="Arial"/>
                <w:color w:val="538135" w:themeColor="accent6" w:themeShade="BF"/>
                <w:sz w:val="20"/>
                <w:szCs w:val="20"/>
                <w:lang w:val="fr-FR"/>
              </w:rPr>
              <w:t>SUN et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autres réseaux SUN</w:t>
            </w:r>
          </w:p>
          <w:p w14:paraId="66E20361" w14:textId="77777777" w:rsidR="00827251" w:rsidRPr="00BD3D80" w:rsidRDefault="00827251" w:rsidP="00E644E8">
            <w:pPr>
              <w:spacing w:after="0" w:line="240" w:lineRule="auto"/>
              <w:rPr>
                <w:rFonts w:ascii="Calibri" w:eastAsia="Times New Roman" w:hAnsi="Calibri" w:cs="Arial"/>
                <w:color w:val="538135" w:themeColor="accent6" w:themeShade="BF"/>
                <w:sz w:val="20"/>
                <w:szCs w:val="20"/>
                <w:lang w:val="fr-FR"/>
              </w:rPr>
            </w:pPr>
          </w:p>
          <w:p w14:paraId="38D58BE7" w14:textId="4E55A7DF"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Élaboration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orientations sur </w:t>
            </w:r>
            <w:r w:rsidR="00CA2E54">
              <w:rPr>
                <w:rFonts w:ascii="Calibri" w:eastAsia="Times New Roman" w:hAnsi="Calibri" w:cs="Arial"/>
                <w:color w:val="538135" w:themeColor="accent6" w:themeShade="BF"/>
                <w:sz w:val="20"/>
                <w:szCs w:val="20"/>
                <w:lang w:val="fr-FR"/>
              </w:rPr>
              <w:t>l’engagement</w:t>
            </w:r>
            <w:r>
              <w:rPr>
                <w:rFonts w:ascii="Calibri" w:eastAsia="Times New Roman" w:hAnsi="Calibri" w:cs="Arial"/>
                <w:color w:val="538135" w:themeColor="accent6" w:themeShade="BF"/>
                <w:sz w:val="20"/>
                <w:szCs w:val="20"/>
                <w:lang w:val="fr-FR"/>
              </w:rPr>
              <w:t xml:space="preserve"> avec le secteur privé conformément aux principes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engagement élaborés et diffusés dans le réseau</w:t>
            </w:r>
          </w:p>
          <w:p w14:paraId="7364EF7C" w14:textId="77777777" w:rsidR="002021C3" w:rsidRPr="00BD3D80" w:rsidRDefault="002021C3" w:rsidP="00C94552">
            <w:pPr>
              <w:pStyle w:val="ListParagraph"/>
              <w:rPr>
                <w:rFonts w:ascii="Calibri" w:eastAsia="Times New Roman" w:hAnsi="Calibri" w:cs="Arial"/>
                <w:color w:val="538135" w:themeColor="accent6" w:themeShade="BF"/>
                <w:sz w:val="20"/>
                <w:szCs w:val="20"/>
                <w:lang w:val="fr-FR"/>
              </w:rPr>
            </w:pPr>
          </w:p>
          <w:p w14:paraId="183A84DB" w14:textId="32C42BA8" w:rsidR="002021C3" w:rsidRPr="00BD3D80" w:rsidRDefault="002021C3" w:rsidP="002021C3">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Existence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un plan de réseau commun qui inclut les priorités du </w:t>
            </w:r>
            <w:r w:rsidR="00CA2E54">
              <w:rPr>
                <w:rFonts w:ascii="Calibri" w:eastAsia="Times New Roman" w:hAnsi="Calibri" w:cs="Arial"/>
                <w:color w:val="538135" w:themeColor="accent6" w:themeShade="BF"/>
                <w:sz w:val="20"/>
                <w:szCs w:val="20"/>
                <w:lang w:val="fr-FR"/>
              </w:rPr>
              <w:t>RSC</w:t>
            </w:r>
          </w:p>
          <w:p w14:paraId="18078FF7" w14:textId="58D447A1" w:rsidR="002021C3" w:rsidRPr="00BD3D80" w:rsidRDefault="002021C3" w:rsidP="002021C3">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études de cas/plans de travail nationaux conjoints élaborés en partenariat avec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autres réseaux SUN </w:t>
            </w:r>
          </w:p>
          <w:p w14:paraId="76EB3E15" w14:textId="752AC3DE" w:rsidR="002021C3" w:rsidRPr="00BD3D80" w:rsidRDefault="002021C3" w:rsidP="002021C3">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Pourcentage des ASC qui contribuent régulièrement aux processus SUN</w:t>
            </w:r>
          </w:p>
        </w:tc>
      </w:tr>
      <w:tr w:rsidR="00827251" w:rsidRPr="00880085" w14:paraId="71BD9794" w14:textId="77777777" w:rsidTr="00151E80">
        <w:trPr>
          <w:trHeight w:val="600"/>
        </w:trPr>
        <w:tc>
          <w:tcPr>
            <w:tcW w:w="628" w:type="pct"/>
            <w:vMerge/>
            <w:shd w:val="clear" w:color="auto" w:fill="FFFFFF" w:themeFill="background1"/>
          </w:tcPr>
          <w:p w14:paraId="489648BF" w14:textId="77777777" w:rsidR="00827251" w:rsidRPr="00BD3D80" w:rsidRDefault="00827251" w:rsidP="00E644E8">
            <w:pPr>
              <w:spacing w:after="0" w:line="240" w:lineRule="auto"/>
              <w:jc w:val="center"/>
              <w:rPr>
                <w:rFonts w:ascii="Calibri" w:eastAsia="Times New Roman" w:hAnsi="Calibri" w:cs="Arial"/>
                <w:sz w:val="20"/>
                <w:szCs w:val="20"/>
                <w:lang w:val="fr-FR"/>
              </w:rPr>
            </w:pPr>
          </w:p>
        </w:tc>
        <w:tc>
          <w:tcPr>
            <w:tcW w:w="1668" w:type="pct"/>
            <w:shd w:val="clear" w:color="auto" w:fill="FFFFFF" w:themeFill="background1"/>
            <w:vAlign w:val="center"/>
            <w:hideMark/>
          </w:tcPr>
          <w:p w14:paraId="204A3B6D" w14:textId="63E642C1" w:rsidR="00827251" w:rsidRPr="00325D8D" w:rsidRDefault="00827251" w:rsidP="00D659C6">
            <w:p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 xml:space="preserve">4.3.3. </w:t>
            </w:r>
            <w:r w:rsidR="00644F77">
              <w:rPr>
                <w:rFonts w:ascii="Calibri" w:eastAsia="Times New Roman" w:hAnsi="Calibri" w:cs="Arial"/>
                <w:lang w:val="fr-FR"/>
              </w:rPr>
              <w:t>La société civile contrôle et fait rapport sur le respect des principes d</w:t>
            </w:r>
            <w:r w:rsidR="002C54BD">
              <w:rPr>
                <w:rFonts w:ascii="Calibri" w:eastAsia="Times New Roman" w:hAnsi="Calibri" w:cs="Arial"/>
                <w:lang w:val="fr-FR"/>
              </w:rPr>
              <w:t>’</w:t>
            </w:r>
            <w:r w:rsidR="00644F77">
              <w:rPr>
                <w:rFonts w:ascii="Calibri" w:eastAsia="Times New Roman" w:hAnsi="Calibri" w:cs="Arial"/>
                <w:lang w:val="fr-FR"/>
              </w:rPr>
              <w:t>engagement du Mouvement SUN par les membres du secteur privé</w:t>
            </w:r>
          </w:p>
        </w:tc>
        <w:tc>
          <w:tcPr>
            <w:tcW w:w="2704" w:type="pct"/>
            <w:shd w:val="clear" w:color="auto" w:fill="FFFFFF" w:themeFill="background1"/>
            <w:vAlign w:val="center"/>
            <w:hideMark/>
          </w:tcPr>
          <w:p w14:paraId="26060F61" w14:textId="3B60FCB2"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actions entreprises par le secteur privé pour appliquer les principes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engagement du mouvement SUN</w:t>
            </w:r>
          </w:p>
          <w:p w14:paraId="5AD67E71" w14:textId="01BF5305" w:rsidR="002021C3" w:rsidRPr="00BD3D80" w:rsidRDefault="002021C3"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exemples de défis et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opportunités signalés par les alliances concernant l</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engagement du secteur privé </w:t>
            </w:r>
          </w:p>
        </w:tc>
      </w:tr>
      <w:tr w:rsidR="00827251" w:rsidRPr="00880085" w14:paraId="4C821D6C" w14:textId="77777777" w:rsidTr="00151E80">
        <w:trPr>
          <w:trHeight w:val="600"/>
        </w:trPr>
        <w:tc>
          <w:tcPr>
            <w:tcW w:w="628" w:type="pct"/>
            <w:vMerge/>
            <w:shd w:val="clear" w:color="auto" w:fill="FFFFFF" w:themeFill="background1"/>
          </w:tcPr>
          <w:p w14:paraId="4B7F3F27" w14:textId="77777777" w:rsidR="00827251" w:rsidRPr="00BD3D80" w:rsidRDefault="00827251" w:rsidP="00E644E8">
            <w:pPr>
              <w:spacing w:after="0" w:line="240" w:lineRule="auto"/>
              <w:jc w:val="center"/>
              <w:rPr>
                <w:rFonts w:ascii="Calibri" w:eastAsia="Times New Roman" w:hAnsi="Calibri" w:cs="Arial"/>
                <w:sz w:val="20"/>
                <w:szCs w:val="20"/>
                <w:lang w:val="fr-FR"/>
              </w:rPr>
            </w:pPr>
          </w:p>
        </w:tc>
        <w:tc>
          <w:tcPr>
            <w:tcW w:w="1668" w:type="pct"/>
            <w:vMerge w:val="restart"/>
            <w:shd w:val="clear" w:color="auto" w:fill="FFFFFF" w:themeFill="background1"/>
            <w:vAlign w:val="center"/>
            <w:hideMark/>
          </w:tcPr>
          <w:p w14:paraId="116D0380" w14:textId="061CB586" w:rsidR="00827251" w:rsidRPr="00BD3D80" w:rsidRDefault="00827251" w:rsidP="00D659C6">
            <w:pPr>
              <w:spacing w:after="0" w:line="240" w:lineRule="auto"/>
              <w:rPr>
                <w:rFonts w:ascii="Calibri" w:eastAsia="Times New Roman" w:hAnsi="Calibri" w:cs="Arial"/>
                <w:sz w:val="20"/>
                <w:szCs w:val="20"/>
                <w:lang w:val="fr-FR"/>
              </w:rPr>
            </w:pPr>
            <w:r>
              <w:rPr>
                <w:rFonts w:ascii="Calibri" w:hAnsi="Calibri"/>
                <w:sz w:val="20"/>
                <w:szCs w:val="20"/>
                <w:lang w:val="fr-FR"/>
              </w:rPr>
              <w:t>4.3.4</w:t>
            </w:r>
            <w:r>
              <w:rPr>
                <w:lang w:val="fr-FR"/>
              </w:rPr>
              <w:t xml:space="preserve"> </w:t>
            </w:r>
            <w:r>
              <w:rPr>
                <w:rFonts w:ascii="Calibri" w:hAnsi="Calibri"/>
                <w:sz w:val="20"/>
                <w:szCs w:val="20"/>
                <w:lang w:val="fr-FR"/>
              </w:rPr>
              <w:t xml:space="preserve">Le </w:t>
            </w:r>
            <w:r w:rsidR="002013D5">
              <w:rPr>
                <w:rFonts w:ascii="Calibri" w:hAnsi="Calibri"/>
                <w:sz w:val="20"/>
                <w:szCs w:val="20"/>
                <w:lang w:val="fr-FR"/>
              </w:rPr>
              <w:t>RSC</w:t>
            </w:r>
            <w:r>
              <w:rPr>
                <w:rFonts w:ascii="Calibri" w:hAnsi="Calibri"/>
                <w:sz w:val="20"/>
                <w:szCs w:val="20"/>
                <w:lang w:val="fr-FR"/>
              </w:rPr>
              <w:t xml:space="preserve"> contribue aux mécanismes de redevabilité mondiaux et régionaux pour assurer la transparence et la centralisation des rapports sur les </w:t>
            </w:r>
            <w:r w:rsidR="00782D7D">
              <w:rPr>
                <w:rFonts w:ascii="Calibri" w:hAnsi="Calibri"/>
                <w:sz w:val="20"/>
                <w:szCs w:val="20"/>
                <w:lang w:val="fr-FR"/>
              </w:rPr>
              <w:t xml:space="preserve">cibles </w:t>
            </w:r>
            <w:r>
              <w:rPr>
                <w:rFonts w:ascii="Calibri" w:hAnsi="Calibri"/>
                <w:sz w:val="20"/>
                <w:szCs w:val="20"/>
                <w:lang w:val="fr-FR"/>
              </w:rPr>
              <w:t>de l</w:t>
            </w:r>
            <w:r w:rsidR="002C54BD">
              <w:rPr>
                <w:rFonts w:ascii="Calibri" w:hAnsi="Calibri"/>
                <w:sz w:val="20"/>
                <w:szCs w:val="20"/>
                <w:lang w:val="fr-FR"/>
              </w:rPr>
              <w:t>’</w:t>
            </w:r>
            <w:r>
              <w:rPr>
                <w:rFonts w:ascii="Calibri" w:hAnsi="Calibri"/>
                <w:sz w:val="20"/>
                <w:szCs w:val="20"/>
                <w:lang w:val="fr-FR"/>
              </w:rPr>
              <w:t>AMS et de l</w:t>
            </w:r>
            <w:r w:rsidR="002C54BD">
              <w:rPr>
                <w:rFonts w:ascii="Calibri" w:hAnsi="Calibri"/>
                <w:sz w:val="20"/>
                <w:szCs w:val="20"/>
                <w:lang w:val="fr-FR"/>
              </w:rPr>
              <w:t>’</w:t>
            </w:r>
            <w:r>
              <w:rPr>
                <w:rFonts w:ascii="Calibri" w:hAnsi="Calibri"/>
                <w:sz w:val="20"/>
                <w:szCs w:val="20"/>
                <w:lang w:val="fr-FR"/>
              </w:rPr>
              <w:t>ODD2</w:t>
            </w:r>
          </w:p>
          <w:p w14:paraId="1E2C0D5C" w14:textId="77777777" w:rsidR="00827251" w:rsidRPr="00BD3D80" w:rsidRDefault="00827251" w:rsidP="00D659C6">
            <w:pPr>
              <w:spacing w:after="0" w:line="240" w:lineRule="auto"/>
              <w:rPr>
                <w:rFonts w:ascii="Calibri" w:eastAsia="Times New Roman" w:hAnsi="Calibri" w:cs="Arial"/>
                <w:sz w:val="20"/>
                <w:szCs w:val="20"/>
                <w:lang w:val="fr-FR"/>
              </w:rPr>
            </w:pPr>
            <w:r>
              <w:rPr>
                <w:rFonts w:ascii="Calibri" w:eastAsia="Times New Roman" w:hAnsi="Calibri" w:cs="Arial"/>
                <w:b/>
                <w:bCs/>
                <w:sz w:val="20"/>
                <w:szCs w:val="20"/>
                <w:lang w:val="fr-FR"/>
              </w:rPr>
              <w:t> </w:t>
            </w:r>
          </w:p>
        </w:tc>
        <w:tc>
          <w:tcPr>
            <w:tcW w:w="2704" w:type="pct"/>
            <w:shd w:val="clear" w:color="auto" w:fill="FFFFFF" w:themeFill="background1"/>
            <w:vAlign w:val="center"/>
            <w:hideMark/>
          </w:tcPr>
          <w:p w14:paraId="1B093D51" w14:textId="47DAB591"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 xml:space="preserve"> </w:t>
            </w:r>
            <w:r w:rsidR="00782D7D">
              <w:rPr>
                <w:rFonts w:ascii="Calibri" w:eastAsia="Times New Roman" w:hAnsi="Calibri" w:cs="Arial"/>
                <w:color w:val="538135" w:themeColor="accent6" w:themeShade="BF"/>
                <w:sz w:val="20"/>
                <w:szCs w:val="20"/>
                <w:lang w:val="fr-FR"/>
              </w:rPr>
              <w:t xml:space="preserve">Stratégie </w:t>
            </w:r>
            <w:r>
              <w:rPr>
                <w:rFonts w:ascii="Calibri" w:eastAsia="Times New Roman" w:hAnsi="Calibri" w:cs="Arial"/>
                <w:color w:val="538135" w:themeColor="accent6" w:themeShade="BF"/>
                <w:sz w:val="20"/>
                <w:szCs w:val="20"/>
                <w:lang w:val="fr-FR"/>
              </w:rPr>
              <w:t>visant à influencer les rapports mondiaux sur l</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ODD2 et l</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AMS élaborée avec le comité directeur</w:t>
            </w:r>
          </w:p>
        </w:tc>
      </w:tr>
      <w:tr w:rsidR="00827251" w:rsidRPr="00880085" w14:paraId="377C2301" w14:textId="77777777" w:rsidTr="00151E80">
        <w:trPr>
          <w:trHeight w:val="70"/>
        </w:trPr>
        <w:tc>
          <w:tcPr>
            <w:tcW w:w="628" w:type="pct"/>
            <w:vMerge/>
            <w:shd w:val="clear" w:color="auto" w:fill="FFFFFF" w:themeFill="background1"/>
          </w:tcPr>
          <w:p w14:paraId="72027023" w14:textId="77777777" w:rsidR="00827251" w:rsidRPr="00BD3D80" w:rsidRDefault="00827251" w:rsidP="00E644E8">
            <w:pPr>
              <w:spacing w:after="0" w:line="240" w:lineRule="auto"/>
              <w:jc w:val="center"/>
              <w:rPr>
                <w:rFonts w:ascii="Calibri" w:eastAsia="Times New Roman" w:hAnsi="Calibri" w:cs="Arial"/>
                <w:b/>
                <w:bCs/>
                <w:sz w:val="20"/>
                <w:szCs w:val="20"/>
                <w:lang w:val="fr-FR"/>
              </w:rPr>
            </w:pPr>
          </w:p>
        </w:tc>
        <w:tc>
          <w:tcPr>
            <w:tcW w:w="1668" w:type="pct"/>
            <w:vMerge/>
            <w:shd w:val="clear" w:color="auto" w:fill="FFFFFF" w:themeFill="background1"/>
            <w:vAlign w:val="center"/>
            <w:hideMark/>
          </w:tcPr>
          <w:p w14:paraId="36AF9FA3" w14:textId="6BA69DD9" w:rsidR="00827251" w:rsidRPr="00BD3D80" w:rsidRDefault="00827251" w:rsidP="00E644E8">
            <w:pPr>
              <w:spacing w:after="0" w:line="240" w:lineRule="auto"/>
              <w:jc w:val="center"/>
              <w:rPr>
                <w:rFonts w:ascii="Calibri" w:eastAsia="Times New Roman" w:hAnsi="Calibri" w:cs="Arial"/>
                <w:b/>
                <w:bCs/>
                <w:sz w:val="20"/>
                <w:szCs w:val="20"/>
                <w:lang w:val="fr-FR"/>
              </w:rPr>
            </w:pPr>
          </w:p>
        </w:tc>
        <w:tc>
          <w:tcPr>
            <w:tcW w:w="2704" w:type="pct"/>
            <w:shd w:val="clear" w:color="auto" w:fill="FFFFFF" w:themeFill="background1"/>
            <w:vAlign w:val="center"/>
            <w:hideMark/>
          </w:tcPr>
          <w:p w14:paraId="6AC6C4BB" w14:textId="359D2A5E"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 xml:space="preserve">Preuve de la contribution </w:t>
            </w:r>
            <w:r w:rsidR="002013D5">
              <w:rPr>
                <w:rFonts w:ascii="Calibri" w:eastAsia="Times New Roman" w:hAnsi="Calibri" w:cs="Arial"/>
                <w:color w:val="538135" w:themeColor="accent6" w:themeShade="BF"/>
                <w:sz w:val="20"/>
                <w:szCs w:val="20"/>
                <w:lang w:val="fr-FR"/>
              </w:rPr>
              <w:t>des ASC</w:t>
            </w:r>
            <w:r>
              <w:rPr>
                <w:rFonts w:ascii="Calibri" w:eastAsia="Times New Roman" w:hAnsi="Calibri" w:cs="Arial"/>
                <w:color w:val="538135" w:themeColor="accent6" w:themeShade="BF"/>
                <w:sz w:val="20"/>
                <w:szCs w:val="20"/>
                <w:lang w:val="fr-FR"/>
              </w:rPr>
              <w:t xml:space="preserve"> à l</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établissement de rapports sur les </w:t>
            </w:r>
            <w:r w:rsidR="00782D7D">
              <w:rPr>
                <w:rFonts w:ascii="Calibri" w:eastAsia="Times New Roman" w:hAnsi="Calibri" w:cs="Arial"/>
                <w:color w:val="538135" w:themeColor="accent6" w:themeShade="BF"/>
                <w:sz w:val="20"/>
                <w:szCs w:val="20"/>
                <w:lang w:val="fr-FR"/>
              </w:rPr>
              <w:t xml:space="preserve">cibles </w:t>
            </w:r>
            <w:r>
              <w:rPr>
                <w:rFonts w:ascii="Calibri" w:eastAsia="Times New Roman" w:hAnsi="Calibri" w:cs="Arial"/>
                <w:color w:val="538135" w:themeColor="accent6" w:themeShade="BF"/>
                <w:sz w:val="20"/>
                <w:szCs w:val="20"/>
                <w:lang w:val="fr-FR"/>
              </w:rPr>
              <w:t>de l</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ODD2 et de l</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AMS</w:t>
            </w:r>
          </w:p>
          <w:p w14:paraId="6904A700" w14:textId="77777777" w:rsidR="00827251" w:rsidRPr="00BD3D80" w:rsidRDefault="00827251" w:rsidP="00E644E8">
            <w:pPr>
              <w:spacing w:after="0" w:line="240" w:lineRule="auto"/>
              <w:rPr>
                <w:rFonts w:ascii="Calibri" w:eastAsia="Times New Roman" w:hAnsi="Calibri" w:cs="Arial"/>
                <w:color w:val="538135" w:themeColor="accent6" w:themeShade="BF"/>
                <w:sz w:val="20"/>
                <w:szCs w:val="20"/>
                <w:lang w:val="fr-FR"/>
              </w:rPr>
            </w:pPr>
          </w:p>
          <w:p w14:paraId="4A4FD6FC" w14:textId="57C90561" w:rsidR="00827251" w:rsidRPr="00BD3D80" w:rsidRDefault="00827251"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Nombre d</w:t>
            </w:r>
            <w:r w:rsidR="002C54BD">
              <w:rPr>
                <w:rFonts w:ascii="Calibri" w:eastAsia="Times New Roman" w:hAnsi="Calibri" w:cs="Arial"/>
                <w:sz w:val="20"/>
                <w:szCs w:val="20"/>
                <w:lang w:val="fr-FR"/>
              </w:rPr>
              <w:t>’</w:t>
            </w:r>
            <w:r>
              <w:rPr>
                <w:rFonts w:ascii="Calibri" w:eastAsia="Times New Roman" w:hAnsi="Calibri" w:cs="Arial"/>
                <w:sz w:val="20"/>
                <w:szCs w:val="20"/>
                <w:lang w:val="fr-FR"/>
              </w:rPr>
              <w:t xml:space="preserve">études de cas ou de documents faisant état des progrès réalisés dans la réalisation des </w:t>
            </w:r>
            <w:r w:rsidR="00782D7D">
              <w:rPr>
                <w:rFonts w:ascii="Calibri" w:eastAsia="Times New Roman" w:hAnsi="Calibri" w:cs="Arial"/>
                <w:sz w:val="20"/>
                <w:szCs w:val="20"/>
                <w:lang w:val="fr-FR"/>
              </w:rPr>
              <w:t xml:space="preserve">cibles </w:t>
            </w:r>
            <w:r>
              <w:rPr>
                <w:rFonts w:ascii="Calibri" w:eastAsia="Times New Roman" w:hAnsi="Calibri" w:cs="Arial"/>
                <w:sz w:val="20"/>
                <w:szCs w:val="20"/>
                <w:lang w:val="fr-FR"/>
              </w:rPr>
              <w:t>de l</w:t>
            </w:r>
            <w:r w:rsidR="002C54BD">
              <w:rPr>
                <w:rFonts w:ascii="Calibri" w:eastAsia="Times New Roman" w:hAnsi="Calibri" w:cs="Arial"/>
                <w:sz w:val="20"/>
                <w:szCs w:val="20"/>
                <w:lang w:val="fr-FR"/>
              </w:rPr>
              <w:t>’</w:t>
            </w:r>
            <w:r>
              <w:rPr>
                <w:rFonts w:ascii="Calibri" w:eastAsia="Times New Roman" w:hAnsi="Calibri" w:cs="Arial"/>
                <w:sz w:val="20"/>
                <w:szCs w:val="20"/>
                <w:lang w:val="fr-FR"/>
              </w:rPr>
              <w:t>ODD/l</w:t>
            </w:r>
            <w:r w:rsidR="002C54BD">
              <w:rPr>
                <w:rFonts w:ascii="Calibri" w:eastAsia="Times New Roman" w:hAnsi="Calibri" w:cs="Arial"/>
                <w:sz w:val="20"/>
                <w:szCs w:val="20"/>
                <w:lang w:val="fr-FR"/>
              </w:rPr>
              <w:t>’</w:t>
            </w:r>
            <w:r>
              <w:rPr>
                <w:rFonts w:ascii="Calibri" w:eastAsia="Times New Roman" w:hAnsi="Calibri" w:cs="Arial"/>
                <w:sz w:val="20"/>
                <w:szCs w:val="20"/>
                <w:lang w:val="fr-FR"/>
              </w:rPr>
              <w:t xml:space="preserve">AMS </w:t>
            </w:r>
          </w:p>
          <w:p w14:paraId="73F75A90" w14:textId="77777777" w:rsidR="002021C3" w:rsidRPr="00BD3D80" w:rsidRDefault="002021C3" w:rsidP="00C94552">
            <w:pPr>
              <w:pStyle w:val="ListParagraph"/>
              <w:rPr>
                <w:rFonts w:ascii="Calibri" w:eastAsia="Times New Roman" w:hAnsi="Calibri" w:cs="Arial"/>
                <w:sz w:val="20"/>
                <w:szCs w:val="20"/>
                <w:lang w:val="fr-FR"/>
              </w:rPr>
            </w:pPr>
          </w:p>
          <w:p w14:paraId="0A8BFD2B" w14:textId="0A800899" w:rsidR="002021C3" w:rsidRPr="00BD3D80" w:rsidRDefault="002021C3"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Nombre de groupes de travail auquel le RSC participe.</w:t>
            </w:r>
          </w:p>
        </w:tc>
      </w:tr>
      <w:tr w:rsidR="00827251" w:rsidRPr="00880085" w14:paraId="3732980F" w14:textId="77777777" w:rsidTr="00151E80">
        <w:tblPrEx>
          <w:shd w:val="clear" w:color="auto" w:fill="FFFFFF" w:themeFill="background1"/>
        </w:tblPrEx>
        <w:trPr>
          <w:trHeight w:val="570"/>
        </w:trPr>
        <w:tc>
          <w:tcPr>
            <w:tcW w:w="628" w:type="pct"/>
            <w:vMerge w:val="restart"/>
            <w:shd w:val="clear" w:color="auto" w:fill="FFFFFF" w:themeFill="background1"/>
          </w:tcPr>
          <w:p w14:paraId="02AAACA5" w14:textId="1295AC3B" w:rsidR="00827251" w:rsidRPr="00250A20" w:rsidRDefault="00151E80" w:rsidP="00E644E8">
            <w:pPr>
              <w:spacing w:after="0" w:line="240" w:lineRule="auto"/>
              <w:rPr>
                <w:rFonts w:ascii="Calibri" w:eastAsia="Times New Roman" w:hAnsi="Calibri" w:cs="Arial"/>
                <w:color w:val="000000"/>
                <w:sz w:val="20"/>
                <w:szCs w:val="20"/>
              </w:rPr>
            </w:pPr>
            <w:r>
              <w:rPr>
                <w:rFonts w:ascii="Calibri" w:eastAsia="Times New Roman" w:hAnsi="Calibri" w:cs="Arial"/>
                <w:sz w:val="20"/>
                <w:szCs w:val="20"/>
                <w:lang w:val="fr-FR"/>
              </w:rPr>
              <w:t>Résultat intermédiaire</w:t>
            </w:r>
            <w:r w:rsidR="002C54BD">
              <w:rPr>
                <w:rFonts w:ascii="Calibri" w:eastAsia="Times New Roman" w:hAnsi="Calibri" w:cs="Arial"/>
                <w:sz w:val="20"/>
                <w:szCs w:val="20"/>
                <w:lang w:val="fr-FR"/>
              </w:rPr>
              <w:t> </w:t>
            </w:r>
            <w:r>
              <w:rPr>
                <w:rFonts w:ascii="Calibri" w:eastAsia="Times New Roman" w:hAnsi="Calibri" w:cs="Arial"/>
                <w:color w:val="000000"/>
                <w:sz w:val="20"/>
                <w:szCs w:val="20"/>
                <w:lang w:val="fr-FR"/>
              </w:rPr>
              <w:t>4.4</w:t>
            </w:r>
          </w:p>
        </w:tc>
        <w:tc>
          <w:tcPr>
            <w:tcW w:w="1668" w:type="pct"/>
            <w:shd w:val="clear" w:color="auto" w:fill="FFFFFF" w:themeFill="background1"/>
            <w:vAlign w:val="center"/>
            <w:hideMark/>
          </w:tcPr>
          <w:p w14:paraId="2D087B00" w14:textId="1593D0EE" w:rsidR="00827251" w:rsidRPr="00BD3D80" w:rsidRDefault="00827251" w:rsidP="00E644E8">
            <w:pPr>
              <w:spacing w:after="0" w:line="240" w:lineRule="auto"/>
              <w:rPr>
                <w:rFonts w:ascii="Calibri" w:eastAsia="Times New Roman" w:hAnsi="Calibri" w:cs="Arial"/>
                <w:color w:val="000000"/>
                <w:sz w:val="20"/>
                <w:szCs w:val="20"/>
                <w:lang w:val="fr-FR"/>
              </w:rPr>
            </w:pPr>
            <w:r>
              <w:rPr>
                <w:rFonts w:ascii="Calibri" w:eastAsia="Times New Roman" w:hAnsi="Calibri" w:cs="Arial"/>
                <w:color w:val="000000"/>
                <w:sz w:val="20"/>
                <w:szCs w:val="20"/>
                <w:lang w:val="fr-FR"/>
              </w:rPr>
              <w:t>4.4.1. Le RSC/l</w:t>
            </w:r>
            <w:r w:rsidR="002C54BD">
              <w:rPr>
                <w:rFonts w:ascii="Calibri" w:eastAsia="Times New Roman" w:hAnsi="Calibri" w:cs="Arial"/>
                <w:color w:val="000000"/>
                <w:sz w:val="20"/>
                <w:szCs w:val="20"/>
                <w:lang w:val="fr-FR"/>
              </w:rPr>
              <w:t>’</w:t>
            </w:r>
            <w:r>
              <w:rPr>
                <w:rFonts w:ascii="Calibri" w:eastAsia="Times New Roman" w:hAnsi="Calibri" w:cs="Arial"/>
                <w:color w:val="000000"/>
                <w:sz w:val="20"/>
                <w:szCs w:val="20"/>
                <w:lang w:val="fr-FR"/>
              </w:rPr>
              <w:t>ASC SUN a mis en place une stratégie de communication efficace</w:t>
            </w:r>
          </w:p>
        </w:tc>
        <w:tc>
          <w:tcPr>
            <w:tcW w:w="2704" w:type="pct"/>
            <w:shd w:val="clear" w:color="auto" w:fill="FFFFFF" w:themeFill="background1"/>
            <w:vAlign w:val="center"/>
            <w:hideMark/>
          </w:tcPr>
          <w:p w14:paraId="3395D85D" w14:textId="4224F5C5" w:rsidR="00827251" w:rsidRPr="00BD3D80" w:rsidRDefault="00827251" w:rsidP="00C94552">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 xml:space="preserve">Développement et mise en </w:t>
            </w:r>
            <w:r w:rsidR="00D659C6">
              <w:rPr>
                <w:rFonts w:ascii="Calibri" w:eastAsia="Times New Roman" w:hAnsi="Calibri" w:cs="Arial"/>
                <w:color w:val="538135" w:themeColor="accent6" w:themeShade="BF"/>
                <w:sz w:val="20"/>
                <w:szCs w:val="20"/>
                <w:lang w:val="fr-FR"/>
              </w:rPr>
              <w:t>œuvre</w:t>
            </w:r>
            <w:r>
              <w:rPr>
                <w:rFonts w:ascii="Calibri" w:eastAsia="Times New Roman" w:hAnsi="Calibri" w:cs="Arial"/>
                <w:color w:val="538135" w:themeColor="accent6" w:themeShade="BF"/>
                <w:sz w:val="20"/>
                <w:szCs w:val="20"/>
                <w:lang w:val="fr-FR"/>
              </w:rPr>
              <w:t xml:space="preserv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une stratégie de plaidoyer et de communication du RSC/de l</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ASC</w:t>
            </w:r>
          </w:p>
          <w:p w14:paraId="331FD37A" w14:textId="61F31F7C" w:rsidR="00827251" w:rsidRPr="00BD3D80" w:rsidRDefault="00827251"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Nombre de professionnels des médias formés (ventilés par sexe et par lieu)</w:t>
            </w:r>
          </w:p>
          <w:p w14:paraId="6AE81FAA" w14:textId="197C7236" w:rsidR="00827251" w:rsidRPr="00BD3D80" w:rsidRDefault="00827251"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lastRenderedPageBreak/>
              <w:t>Nombre de représentants des OSC (ventilés par sexe et par niveau national/infranational) formés à la communication</w:t>
            </w:r>
          </w:p>
          <w:p w14:paraId="56363278" w14:textId="13A2406B" w:rsidR="00A11707" w:rsidRPr="00BD3D80" w:rsidRDefault="00A11707" w:rsidP="00A11707">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Nombre de rapports d</w:t>
            </w:r>
            <w:r w:rsidR="002C54BD">
              <w:rPr>
                <w:rFonts w:ascii="Calibri" w:eastAsia="Times New Roman" w:hAnsi="Calibri" w:cs="Arial"/>
                <w:sz w:val="20"/>
                <w:szCs w:val="20"/>
                <w:lang w:val="fr-FR"/>
              </w:rPr>
              <w:t>’</w:t>
            </w:r>
            <w:r>
              <w:rPr>
                <w:rFonts w:ascii="Calibri" w:eastAsia="Times New Roman" w:hAnsi="Calibri" w:cs="Arial"/>
                <w:sz w:val="20"/>
                <w:szCs w:val="20"/>
                <w:lang w:val="fr-FR"/>
              </w:rPr>
              <w:t>avancement des ASC au niveau national (ou leurs versions résumées) distribués à leurs membres infranationaux pour les motiver et les inciter à s</w:t>
            </w:r>
            <w:r w:rsidR="002C54BD">
              <w:rPr>
                <w:rFonts w:ascii="Calibri" w:eastAsia="Times New Roman" w:hAnsi="Calibri" w:cs="Arial"/>
                <w:sz w:val="20"/>
                <w:szCs w:val="20"/>
                <w:lang w:val="fr-FR"/>
              </w:rPr>
              <w:t>’</w:t>
            </w:r>
            <w:r>
              <w:rPr>
                <w:rFonts w:ascii="Calibri" w:eastAsia="Times New Roman" w:hAnsi="Calibri" w:cs="Arial"/>
                <w:sz w:val="20"/>
                <w:szCs w:val="20"/>
                <w:lang w:val="fr-FR"/>
              </w:rPr>
              <w:t xml:space="preserve">impliquer </w:t>
            </w:r>
            <w:r>
              <w:rPr>
                <w:rFonts w:ascii="Calibri" w:eastAsia="Times New Roman" w:hAnsi="Calibri" w:cs="Arial"/>
                <w:color w:val="538135" w:themeColor="accent6" w:themeShade="BF"/>
                <w:sz w:val="20"/>
                <w:szCs w:val="20"/>
                <w:lang w:val="fr-FR"/>
              </w:rPr>
              <w:t>(</w:t>
            </w:r>
            <w:r w:rsidR="00BB74DB">
              <w:rPr>
                <w:rFonts w:ascii="Calibri" w:eastAsia="Times New Roman" w:hAnsi="Calibri" w:cs="Arial"/>
                <w:color w:val="538135" w:themeColor="accent6" w:themeShade="BF"/>
                <w:sz w:val="20"/>
                <w:szCs w:val="20"/>
                <w:lang w:val="fr-FR"/>
              </w:rPr>
              <w:t>fonds communs</w:t>
            </w:r>
            <w:r>
              <w:rPr>
                <w:rFonts w:ascii="Calibri" w:eastAsia="Times New Roman" w:hAnsi="Calibri" w:cs="Arial"/>
                <w:color w:val="538135" w:themeColor="accent6" w:themeShade="BF"/>
                <w:sz w:val="20"/>
                <w:szCs w:val="20"/>
                <w:lang w:val="fr-FR"/>
              </w:rPr>
              <w:t xml:space="preserve"> Produit</w:t>
            </w:r>
            <w:r w:rsidR="002C54BD">
              <w:rPr>
                <w:rFonts w:ascii="Calibri" w:eastAsia="Times New Roman" w:hAnsi="Calibri" w:cs="Arial"/>
                <w:color w:val="538135" w:themeColor="accent6" w:themeShade="BF"/>
                <w:sz w:val="20"/>
                <w:szCs w:val="20"/>
                <w:lang w:val="fr-FR"/>
              </w:rPr>
              <w:t> </w:t>
            </w:r>
            <w:r>
              <w:rPr>
                <w:rFonts w:ascii="Calibri" w:eastAsia="Times New Roman" w:hAnsi="Calibri" w:cs="Arial"/>
                <w:color w:val="538135" w:themeColor="accent6" w:themeShade="BF"/>
                <w:sz w:val="20"/>
                <w:szCs w:val="20"/>
                <w:lang w:val="fr-FR"/>
              </w:rPr>
              <w:t>3.3.1)</w:t>
            </w:r>
          </w:p>
          <w:p w14:paraId="7DACE7CA" w14:textId="2D24E7D9" w:rsidR="00A11707" w:rsidRPr="00BD3D80" w:rsidRDefault="00A11707"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color w:val="538135" w:themeColor="accent6" w:themeShade="BF"/>
                <w:sz w:val="20"/>
                <w:szCs w:val="20"/>
                <w:lang w:val="fr-FR"/>
              </w:rPr>
              <w:t>Nombre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ateliers/événements au niveau infranational dans lesquels les rapports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avancement des ASC au niveau national ont été discutés pour motiver leurs membres et les inciter à s</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impliquer (</w:t>
            </w:r>
            <w:r w:rsidR="00BB74DB">
              <w:rPr>
                <w:rFonts w:ascii="Calibri" w:eastAsia="Times New Roman" w:hAnsi="Calibri" w:cs="Arial"/>
                <w:color w:val="538135" w:themeColor="accent6" w:themeShade="BF"/>
                <w:sz w:val="20"/>
                <w:szCs w:val="20"/>
                <w:lang w:val="fr-FR"/>
              </w:rPr>
              <w:t>fonds communs</w:t>
            </w:r>
            <w:r>
              <w:rPr>
                <w:rFonts w:ascii="Calibri" w:eastAsia="Times New Roman" w:hAnsi="Calibri" w:cs="Arial"/>
                <w:color w:val="538135" w:themeColor="accent6" w:themeShade="BF"/>
                <w:sz w:val="20"/>
                <w:szCs w:val="20"/>
                <w:lang w:val="fr-FR"/>
              </w:rPr>
              <w:t xml:space="preserve"> Produit</w:t>
            </w:r>
            <w:r w:rsidR="002C54BD">
              <w:rPr>
                <w:rFonts w:ascii="Calibri" w:eastAsia="Times New Roman" w:hAnsi="Calibri" w:cs="Arial"/>
                <w:color w:val="538135" w:themeColor="accent6" w:themeShade="BF"/>
                <w:sz w:val="20"/>
                <w:szCs w:val="20"/>
                <w:lang w:val="fr-FR"/>
              </w:rPr>
              <w:t> </w:t>
            </w:r>
            <w:r>
              <w:rPr>
                <w:rFonts w:ascii="Calibri" w:eastAsia="Times New Roman" w:hAnsi="Calibri" w:cs="Arial"/>
                <w:color w:val="538135" w:themeColor="accent6" w:themeShade="BF"/>
                <w:sz w:val="20"/>
                <w:szCs w:val="20"/>
                <w:lang w:val="fr-FR"/>
              </w:rPr>
              <w:t>3.3.1)</w:t>
            </w:r>
          </w:p>
          <w:p w14:paraId="17477546" w14:textId="64CD1178" w:rsidR="00946626" w:rsidRPr="00BD3D80" w:rsidRDefault="00946626" w:rsidP="00946626">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 xml:space="preserve">Nombre de nouveaux abonnés au compte Twitter du </w:t>
            </w:r>
            <w:r w:rsidR="00716DEB">
              <w:rPr>
                <w:rFonts w:ascii="Calibri" w:eastAsia="Times New Roman" w:hAnsi="Calibri" w:cs="Arial"/>
                <w:sz w:val="20"/>
                <w:szCs w:val="20"/>
                <w:lang w:val="fr-FR"/>
              </w:rPr>
              <w:t xml:space="preserve">Réseau de la société civile </w:t>
            </w:r>
            <w:r>
              <w:rPr>
                <w:rFonts w:ascii="Calibri" w:eastAsia="Times New Roman" w:hAnsi="Calibri" w:cs="Arial"/>
                <w:sz w:val="20"/>
                <w:szCs w:val="20"/>
                <w:lang w:val="fr-FR"/>
              </w:rPr>
              <w:t>SUN</w:t>
            </w:r>
          </w:p>
          <w:p w14:paraId="2B6AC996" w14:textId="2A00CA78" w:rsidR="00946626" w:rsidRPr="00BD3D80" w:rsidRDefault="00946626" w:rsidP="00946626">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Nombre de consultations d</w:t>
            </w:r>
            <w:r w:rsidR="00644F77">
              <w:rPr>
                <w:rFonts w:ascii="Calibri" w:eastAsia="Times New Roman" w:hAnsi="Calibri" w:cs="Arial"/>
                <w:sz w:val="20"/>
                <w:szCs w:val="20"/>
                <w:lang w:val="fr-FR"/>
              </w:rPr>
              <w:t>u</w:t>
            </w:r>
            <w:r>
              <w:rPr>
                <w:rFonts w:ascii="Calibri" w:eastAsia="Times New Roman" w:hAnsi="Calibri" w:cs="Arial"/>
                <w:sz w:val="20"/>
                <w:szCs w:val="20"/>
                <w:lang w:val="fr-FR"/>
              </w:rPr>
              <w:t xml:space="preserve"> site Web (ventilées par page) </w:t>
            </w:r>
          </w:p>
          <w:p w14:paraId="396372A9" w14:textId="70CC0A6A" w:rsidR="00946626" w:rsidRPr="00BD3D80" w:rsidRDefault="00946626" w:rsidP="00946626">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 xml:space="preserve">Nombre de personnes qui ont reçu des communications du </w:t>
            </w:r>
            <w:r w:rsidR="00716DEB">
              <w:rPr>
                <w:rFonts w:ascii="Calibri" w:eastAsia="Times New Roman" w:hAnsi="Calibri" w:cs="Arial"/>
                <w:sz w:val="20"/>
                <w:szCs w:val="20"/>
                <w:lang w:val="fr-FR"/>
              </w:rPr>
              <w:t xml:space="preserve">Réseau de la société civile </w:t>
            </w:r>
            <w:r>
              <w:rPr>
                <w:rFonts w:ascii="Calibri" w:eastAsia="Times New Roman" w:hAnsi="Calibri" w:cs="Arial"/>
                <w:sz w:val="20"/>
                <w:szCs w:val="20"/>
                <w:lang w:val="fr-FR"/>
              </w:rPr>
              <w:t>de SUN par e</w:t>
            </w:r>
            <w:r w:rsidR="00FF12F2">
              <w:rPr>
                <w:rFonts w:ascii="Calibri" w:eastAsia="Times New Roman" w:hAnsi="Calibri" w:cs="Arial"/>
                <w:sz w:val="20"/>
                <w:szCs w:val="20"/>
                <w:lang w:val="fr-FR"/>
              </w:rPr>
              <w:t>-</w:t>
            </w:r>
            <w:r>
              <w:rPr>
                <w:rFonts w:ascii="Calibri" w:eastAsia="Times New Roman" w:hAnsi="Calibri" w:cs="Arial"/>
                <w:sz w:val="20"/>
                <w:szCs w:val="20"/>
                <w:lang w:val="fr-FR"/>
              </w:rPr>
              <w:t xml:space="preserve">mail </w:t>
            </w:r>
          </w:p>
        </w:tc>
      </w:tr>
      <w:tr w:rsidR="00827251" w:rsidRPr="00880085" w14:paraId="0B0C8202" w14:textId="77777777" w:rsidTr="00151E80">
        <w:tblPrEx>
          <w:shd w:val="clear" w:color="auto" w:fill="FFFFFF" w:themeFill="background1"/>
        </w:tblPrEx>
        <w:trPr>
          <w:trHeight w:val="525"/>
        </w:trPr>
        <w:tc>
          <w:tcPr>
            <w:tcW w:w="628" w:type="pct"/>
            <w:vMerge/>
            <w:shd w:val="clear" w:color="auto" w:fill="FFFFFF" w:themeFill="background1"/>
          </w:tcPr>
          <w:p w14:paraId="72C6A0B5" w14:textId="77777777" w:rsidR="00827251" w:rsidRPr="00BD3D80" w:rsidRDefault="00827251" w:rsidP="00E644E8">
            <w:pPr>
              <w:spacing w:after="0" w:line="240" w:lineRule="auto"/>
              <w:rPr>
                <w:rFonts w:ascii="Calibri" w:eastAsia="Times New Roman" w:hAnsi="Calibri" w:cs="Arial"/>
                <w:color w:val="000000"/>
                <w:sz w:val="20"/>
                <w:szCs w:val="20"/>
                <w:lang w:val="fr-FR"/>
              </w:rPr>
            </w:pPr>
          </w:p>
        </w:tc>
        <w:tc>
          <w:tcPr>
            <w:tcW w:w="1668" w:type="pct"/>
            <w:shd w:val="clear" w:color="auto" w:fill="FFFFFF" w:themeFill="background1"/>
            <w:vAlign w:val="center"/>
            <w:hideMark/>
          </w:tcPr>
          <w:p w14:paraId="2B00490C" w14:textId="609B6AF9" w:rsidR="00827251" w:rsidRPr="00BD3D80" w:rsidRDefault="00827251" w:rsidP="00E644E8">
            <w:pPr>
              <w:spacing w:after="0" w:line="240" w:lineRule="auto"/>
              <w:rPr>
                <w:rFonts w:ascii="Calibri" w:eastAsia="Times New Roman" w:hAnsi="Calibri" w:cs="Arial"/>
                <w:color w:val="000000"/>
                <w:sz w:val="20"/>
                <w:szCs w:val="20"/>
                <w:lang w:val="fr-FR"/>
              </w:rPr>
            </w:pPr>
            <w:r>
              <w:rPr>
                <w:rFonts w:ascii="Calibri" w:eastAsia="Times New Roman" w:hAnsi="Calibri" w:cs="Arial"/>
                <w:color w:val="000000"/>
                <w:sz w:val="20"/>
                <w:szCs w:val="20"/>
                <w:lang w:val="fr-FR"/>
              </w:rPr>
              <w:t xml:space="preserve">4.4.2. Un système centralisé de gestion de l’information pour suivre les effets et les progrès du Secrétariat et du réseau au sens large est opérationnel </w:t>
            </w:r>
          </w:p>
        </w:tc>
        <w:tc>
          <w:tcPr>
            <w:tcW w:w="2704" w:type="pct"/>
            <w:shd w:val="clear" w:color="auto" w:fill="FFFFFF" w:themeFill="background1"/>
            <w:vAlign w:val="center"/>
            <w:hideMark/>
          </w:tcPr>
          <w:p w14:paraId="76009519" w14:textId="51530BE4"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 xml:space="preserve">Création et lancement du site Web du </w:t>
            </w:r>
            <w:r w:rsidR="005507A8">
              <w:rPr>
                <w:rFonts w:ascii="Calibri" w:eastAsia="Times New Roman" w:hAnsi="Calibri" w:cs="Arial"/>
                <w:color w:val="538135" w:themeColor="accent6" w:themeShade="BF"/>
                <w:sz w:val="20"/>
                <w:szCs w:val="20"/>
                <w:lang w:val="fr-FR"/>
              </w:rPr>
              <w:t>RSC</w:t>
            </w:r>
            <w:r>
              <w:rPr>
                <w:rFonts w:ascii="Calibri" w:eastAsia="Times New Roman" w:hAnsi="Calibri" w:cs="Arial"/>
                <w:color w:val="538135" w:themeColor="accent6" w:themeShade="BF"/>
                <w:sz w:val="20"/>
                <w:szCs w:val="20"/>
                <w:lang w:val="fr-FR"/>
              </w:rPr>
              <w:t xml:space="preserve"> du mouvement SUN en trois langues (français, espagnol, anglais)</w:t>
            </w:r>
          </w:p>
          <w:p w14:paraId="0C9672FE" w14:textId="628AFDB2"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sz w:val="20"/>
                <w:szCs w:val="20"/>
                <w:lang w:val="fr-FR"/>
              </w:rPr>
              <w:t>Nombre de mises à jour du RSC/ASC partagées avec les membres et les personnes extérieures (p. ex., bulletins d</w:t>
            </w:r>
            <w:r w:rsidR="002C54BD">
              <w:rPr>
                <w:rFonts w:ascii="Calibri" w:eastAsia="Times New Roman" w:hAnsi="Calibri" w:cs="Arial"/>
                <w:sz w:val="20"/>
                <w:szCs w:val="20"/>
                <w:lang w:val="fr-FR"/>
              </w:rPr>
              <w:t>’</w:t>
            </w:r>
            <w:r>
              <w:rPr>
                <w:rFonts w:ascii="Calibri" w:eastAsia="Times New Roman" w:hAnsi="Calibri" w:cs="Arial"/>
                <w:sz w:val="20"/>
                <w:szCs w:val="20"/>
                <w:lang w:val="fr-FR"/>
              </w:rPr>
              <w:t>information ou mises à jour en ligne via les réseaux sociaux/site Web, etc.)</w:t>
            </w:r>
          </w:p>
          <w:p w14:paraId="20BF1729" w14:textId="157D3736" w:rsidR="00946626" w:rsidRPr="00BD3D80"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Le Secrétariat du RSC dispose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un système de mise à jour et de </w:t>
            </w:r>
            <w:r w:rsidR="00DC67E8">
              <w:rPr>
                <w:rFonts w:ascii="Calibri" w:eastAsia="Times New Roman" w:hAnsi="Calibri" w:cs="Arial"/>
                <w:color w:val="538135" w:themeColor="accent6" w:themeShade="BF"/>
                <w:sz w:val="20"/>
                <w:szCs w:val="20"/>
                <w:lang w:val="fr-FR"/>
              </w:rPr>
              <w:t xml:space="preserve">publication de rapports </w:t>
            </w:r>
            <w:r>
              <w:rPr>
                <w:rFonts w:ascii="Calibri" w:eastAsia="Times New Roman" w:hAnsi="Calibri" w:cs="Arial"/>
                <w:color w:val="538135" w:themeColor="accent6" w:themeShade="BF"/>
                <w:sz w:val="20"/>
                <w:szCs w:val="20"/>
                <w:lang w:val="fr-FR"/>
              </w:rPr>
              <w:t xml:space="preserve">en ligne pour suivre les progrès des ASC </w:t>
            </w:r>
          </w:p>
          <w:p w14:paraId="1EAAF535" w14:textId="1C826E1D" w:rsidR="00946626" w:rsidRPr="00BD3D80"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 xml:space="preserve">Nombre de membres du réseau qui utilisent la base de données du </w:t>
            </w:r>
            <w:r w:rsidR="00DC67E8">
              <w:rPr>
                <w:rFonts w:ascii="Calibri" w:eastAsia="Times New Roman" w:hAnsi="Calibri" w:cs="Arial"/>
                <w:color w:val="538135" w:themeColor="accent6" w:themeShade="BF"/>
                <w:sz w:val="20"/>
                <w:szCs w:val="20"/>
                <w:lang w:val="fr-FR"/>
              </w:rPr>
              <w:t>RSC du Mouvement</w:t>
            </w:r>
            <w:r>
              <w:rPr>
                <w:rFonts w:ascii="Calibri" w:eastAsia="Times New Roman" w:hAnsi="Calibri" w:cs="Arial"/>
                <w:color w:val="538135" w:themeColor="accent6" w:themeShade="BF"/>
                <w:sz w:val="20"/>
                <w:szCs w:val="20"/>
                <w:lang w:val="fr-FR"/>
              </w:rPr>
              <w:t xml:space="preserve"> SUN</w:t>
            </w:r>
          </w:p>
          <w:p w14:paraId="44FF23C8" w14:textId="65CEC5C8" w:rsidR="00A11707" w:rsidRPr="00BD3D80" w:rsidRDefault="00A11707" w:rsidP="00B53EAE">
            <w:pPr>
              <w:pStyle w:val="ListParagraph"/>
              <w:spacing w:after="0" w:line="240" w:lineRule="auto"/>
              <w:rPr>
                <w:rFonts w:ascii="Calibri" w:eastAsia="Times New Roman" w:hAnsi="Calibri" w:cs="Arial"/>
                <w:color w:val="538135" w:themeColor="accent6" w:themeShade="BF"/>
                <w:sz w:val="20"/>
                <w:szCs w:val="20"/>
                <w:lang w:val="fr-FR"/>
              </w:rPr>
            </w:pPr>
          </w:p>
        </w:tc>
      </w:tr>
      <w:tr w:rsidR="00827251" w:rsidRPr="00880085" w14:paraId="56B4CEE1" w14:textId="77777777" w:rsidTr="00151E80">
        <w:tblPrEx>
          <w:shd w:val="clear" w:color="auto" w:fill="FFFFFF" w:themeFill="background1"/>
        </w:tblPrEx>
        <w:trPr>
          <w:trHeight w:val="510"/>
        </w:trPr>
        <w:tc>
          <w:tcPr>
            <w:tcW w:w="628" w:type="pct"/>
            <w:vMerge/>
            <w:shd w:val="clear" w:color="auto" w:fill="FFFFFF" w:themeFill="background1"/>
          </w:tcPr>
          <w:p w14:paraId="0CE3093E" w14:textId="77777777" w:rsidR="00827251" w:rsidRPr="00BD3D80" w:rsidRDefault="00827251" w:rsidP="00E644E8">
            <w:pPr>
              <w:spacing w:after="0" w:line="240" w:lineRule="auto"/>
              <w:rPr>
                <w:rFonts w:ascii="Calibri" w:eastAsia="Times New Roman" w:hAnsi="Calibri" w:cs="Arial"/>
                <w:color w:val="000000"/>
                <w:sz w:val="20"/>
                <w:szCs w:val="20"/>
                <w:lang w:val="fr-FR"/>
              </w:rPr>
            </w:pPr>
          </w:p>
        </w:tc>
        <w:tc>
          <w:tcPr>
            <w:tcW w:w="1668" w:type="pct"/>
            <w:shd w:val="clear" w:color="auto" w:fill="FFFFFF" w:themeFill="background1"/>
            <w:vAlign w:val="center"/>
            <w:hideMark/>
          </w:tcPr>
          <w:p w14:paraId="79E42BBD" w14:textId="590F02D0" w:rsidR="00827251" w:rsidRPr="00BD3D80" w:rsidRDefault="00827251" w:rsidP="00E644E8">
            <w:pPr>
              <w:spacing w:after="0" w:line="240" w:lineRule="auto"/>
              <w:rPr>
                <w:rFonts w:ascii="Calibri" w:eastAsia="Times New Roman" w:hAnsi="Calibri" w:cs="Arial"/>
                <w:color w:val="000000"/>
                <w:sz w:val="20"/>
                <w:szCs w:val="20"/>
                <w:lang w:val="fr-FR"/>
              </w:rPr>
            </w:pPr>
            <w:r>
              <w:rPr>
                <w:rFonts w:ascii="Calibri" w:eastAsia="Times New Roman" w:hAnsi="Calibri" w:cs="Arial"/>
                <w:color w:val="000000"/>
                <w:sz w:val="20"/>
                <w:szCs w:val="20"/>
                <w:lang w:val="fr-FR"/>
              </w:rPr>
              <w:t>4.4.3 Une structure de gouvernance efficace et transparente est maintenue pour financer le Secrétariat de manière durable</w:t>
            </w:r>
          </w:p>
        </w:tc>
        <w:tc>
          <w:tcPr>
            <w:tcW w:w="2704" w:type="pct"/>
            <w:shd w:val="clear" w:color="auto" w:fill="FFFFFF" w:themeFill="background1"/>
            <w:vAlign w:val="center"/>
            <w:hideMark/>
          </w:tcPr>
          <w:p w14:paraId="5DF59ACD" w14:textId="7231AAF0" w:rsidR="00946626" w:rsidRPr="00DC67E8" w:rsidRDefault="00946626" w:rsidP="00DC67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sidRPr="00DC67E8">
              <w:rPr>
                <w:rFonts w:ascii="Calibri" w:eastAsia="Times New Roman" w:hAnsi="Calibri" w:cs="Arial"/>
                <w:color w:val="538135" w:themeColor="accent6" w:themeShade="BF"/>
                <w:sz w:val="20"/>
                <w:szCs w:val="20"/>
                <w:lang w:val="fr-FR"/>
              </w:rPr>
              <w:t xml:space="preserve">Une stratégie de collecte de fonds est en place </w:t>
            </w:r>
          </w:p>
          <w:p w14:paraId="416EE786" w14:textId="29CEB926" w:rsidR="00827251" w:rsidRPr="00BD3D80"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 xml:space="preserve">Taux de participation du comité de </w:t>
            </w:r>
            <w:r w:rsidR="001F0089">
              <w:rPr>
                <w:rFonts w:ascii="Calibri" w:eastAsia="Times New Roman" w:hAnsi="Calibri" w:cs="Arial"/>
                <w:color w:val="538135" w:themeColor="accent6" w:themeShade="BF"/>
                <w:sz w:val="20"/>
                <w:szCs w:val="20"/>
                <w:lang w:val="fr-FR"/>
              </w:rPr>
              <w:t xml:space="preserve">pilotage </w:t>
            </w:r>
            <w:r>
              <w:rPr>
                <w:rFonts w:ascii="Calibri" w:eastAsia="Times New Roman" w:hAnsi="Calibri" w:cs="Arial"/>
                <w:color w:val="538135" w:themeColor="accent6" w:themeShade="BF"/>
                <w:sz w:val="20"/>
                <w:szCs w:val="20"/>
                <w:lang w:val="fr-FR"/>
              </w:rPr>
              <w:t xml:space="preserve">aux réunions du comité de </w:t>
            </w:r>
            <w:r w:rsidR="004E72B7">
              <w:rPr>
                <w:rFonts w:ascii="Calibri" w:eastAsia="Times New Roman" w:hAnsi="Calibri" w:cs="Arial"/>
                <w:color w:val="538135" w:themeColor="accent6" w:themeShade="BF"/>
                <w:sz w:val="20"/>
                <w:szCs w:val="20"/>
                <w:lang w:val="fr-FR"/>
              </w:rPr>
              <w:t xml:space="preserve">pilotage </w:t>
            </w:r>
            <w:r>
              <w:rPr>
                <w:rFonts w:ascii="Calibri" w:eastAsia="Times New Roman" w:hAnsi="Calibri" w:cs="Arial"/>
                <w:color w:val="538135" w:themeColor="accent6" w:themeShade="BF"/>
                <w:sz w:val="20"/>
                <w:szCs w:val="20"/>
                <w:lang w:val="fr-FR"/>
              </w:rPr>
              <w:t>(%)</w:t>
            </w:r>
          </w:p>
        </w:tc>
      </w:tr>
      <w:tr w:rsidR="00827251" w:rsidRPr="00880085" w14:paraId="01EFE67C" w14:textId="77777777" w:rsidTr="00151E80">
        <w:tblPrEx>
          <w:shd w:val="clear" w:color="auto" w:fill="FFFFFF" w:themeFill="background1"/>
        </w:tblPrEx>
        <w:trPr>
          <w:trHeight w:val="600"/>
        </w:trPr>
        <w:tc>
          <w:tcPr>
            <w:tcW w:w="628" w:type="pct"/>
            <w:vMerge/>
            <w:shd w:val="clear" w:color="auto" w:fill="FFFFFF" w:themeFill="background1"/>
          </w:tcPr>
          <w:p w14:paraId="26B3DF0C" w14:textId="77777777" w:rsidR="00827251" w:rsidRPr="00BD3D80" w:rsidRDefault="00827251" w:rsidP="00E644E8">
            <w:pPr>
              <w:spacing w:after="0" w:line="240" w:lineRule="auto"/>
              <w:rPr>
                <w:rFonts w:ascii="Calibri" w:eastAsia="Times New Roman" w:hAnsi="Calibri" w:cs="Arial"/>
                <w:color w:val="000000"/>
                <w:sz w:val="20"/>
                <w:szCs w:val="20"/>
                <w:lang w:val="fr-FR"/>
              </w:rPr>
            </w:pPr>
          </w:p>
        </w:tc>
        <w:tc>
          <w:tcPr>
            <w:tcW w:w="1668" w:type="pct"/>
            <w:shd w:val="clear" w:color="auto" w:fill="FFFFFF" w:themeFill="background1"/>
            <w:vAlign w:val="center"/>
            <w:hideMark/>
          </w:tcPr>
          <w:p w14:paraId="7171675A" w14:textId="48F9E63B" w:rsidR="00827251" w:rsidRPr="00BD3D80" w:rsidRDefault="00827251" w:rsidP="00E644E8">
            <w:pPr>
              <w:spacing w:after="0" w:line="240" w:lineRule="auto"/>
              <w:rPr>
                <w:rFonts w:ascii="Calibri" w:eastAsia="Times New Roman" w:hAnsi="Calibri" w:cs="Arial"/>
                <w:color w:val="000000"/>
                <w:sz w:val="20"/>
                <w:szCs w:val="20"/>
                <w:lang w:val="fr-FR"/>
              </w:rPr>
            </w:pPr>
            <w:r>
              <w:rPr>
                <w:rFonts w:ascii="Calibri" w:eastAsia="Times New Roman" w:hAnsi="Calibri" w:cs="Arial"/>
                <w:color w:val="000000"/>
                <w:sz w:val="20"/>
                <w:szCs w:val="20"/>
                <w:lang w:val="fr-FR"/>
              </w:rPr>
              <w:t>4.4.4. Des structures régionales de coordination des alliances de la société civile sont en place</w:t>
            </w:r>
          </w:p>
        </w:tc>
        <w:tc>
          <w:tcPr>
            <w:tcW w:w="2704" w:type="pct"/>
            <w:shd w:val="clear" w:color="auto" w:fill="FFFFFF" w:themeFill="background1"/>
            <w:vAlign w:val="center"/>
            <w:hideMark/>
          </w:tcPr>
          <w:p w14:paraId="5C9B4D50" w14:textId="77777777" w:rsidR="00946626" w:rsidRPr="00BD3D80" w:rsidRDefault="00946626" w:rsidP="00946626">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Nombre de réunions et appels au niveau régional</w:t>
            </w:r>
          </w:p>
          <w:p w14:paraId="761BCC13" w14:textId="16E03CF7" w:rsidR="00946626" w:rsidRPr="00DC67E8"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sz w:val="20"/>
                <w:szCs w:val="20"/>
                <w:lang w:val="fr-FR"/>
              </w:rPr>
              <w:t xml:space="preserve">Nombre de groupes régionaux </w:t>
            </w:r>
            <w:r w:rsidR="00DC67E8">
              <w:rPr>
                <w:rFonts w:ascii="Calibri" w:eastAsia="Times New Roman" w:hAnsi="Calibri" w:cs="Arial"/>
                <w:sz w:val="20"/>
                <w:szCs w:val="20"/>
                <w:lang w:val="fr-FR"/>
              </w:rPr>
              <w:t>bénéficiant d’un financement</w:t>
            </w:r>
            <w:r>
              <w:rPr>
                <w:rFonts w:ascii="Calibri" w:eastAsia="Times New Roman" w:hAnsi="Calibri" w:cs="Arial"/>
                <w:sz w:val="20"/>
                <w:szCs w:val="20"/>
                <w:lang w:val="fr-FR"/>
              </w:rPr>
              <w:t xml:space="preserve"> </w:t>
            </w:r>
          </w:p>
          <w:p w14:paraId="2696CAD4" w14:textId="446B72DC" w:rsidR="00827251" w:rsidRPr="00BD3D80"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sz w:val="20"/>
                <w:szCs w:val="20"/>
                <w:lang w:val="fr-FR"/>
              </w:rPr>
              <w:t xml:space="preserve">Participation </w:t>
            </w:r>
            <w:r w:rsidR="00DC67E8">
              <w:rPr>
                <w:rFonts w:ascii="Calibri" w:eastAsia="Times New Roman" w:hAnsi="Calibri" w:cs="Arial"/>
                <w:sz w:val="20"/>
                <w:szCs w:val="20"/>
                <w:lang w:val="fr-FR"/>
              </w:rPr>
              <w:t xml:space="preserve">des </w:t>
            </w:r>
            <w:r>
              <w:rPr>
                <w:rFonts w:ascii="Calibri" w:eastAsia="Times New Roman" w:hAnsi="Calibri" w:cs="Arial"/>
                <w:sz w:val="20"/>
                <w:szCs w:val="20"/>
                <w:lang w:val="fr-FR"/>
              </w:rPr>
              <w:t>ASC aux discussions, réunions et activités régionales.</w:t>
            </w:r>
          </w:p>
        </w:tc>
      </w:tr>
      <w:tr w:rsidR="00827251" w:rsidRPr="00880085" w14:paraId="501B2782" w14:textId="77777777" w:rsidTr="00C94552">
        <w:tblPrEx>
          <w:shd w:val="clear" w:color="auto" w:fill="FFFFFF" w:themeFill="background1"/>
        </w:tblPrEx>
        <w:trPr>
          <w:trHeight w:val="70"/>
        </w:trPr>
        <w:tc>
          <w:tcPr>
            <w:tcW w:w="628" w:type="pct"/>
            <w:vMerge/>
            <w:shd w:val="clear" w:color="auto" w:fill="FFFFFF" w:themeFill="background1"/>
          </w:tcPr>
          <w:p w14:paraId="29753765" w14:textId="77777777" w:rsidR="00827251" w:rsidRPr="00BD3D80" w:rsidRDefault="00827251" w:rsidP="00E644E8">
            <w:pPr>
              <w:spacing w:after="0" w:line="240" w:lineRule="auto"/>
              <w:rPr>
                <w:rFonts w:ascii="Calibri" w:eastAsia="Times New Roman" w:hAnsi="Calibri" w:cs="Arial"/>
                <w:color w:val="000000"/>
                <w:sz w:val="20"/>
                <w:szCs w:val="20"/>
                <w:lang w:val="fr-FR"/>
              </w:rPr>
            </w:pPr>
          </w:p>
        </w:tc>
        <w:tc>
          <w:tcPr>
            <w:tcW w:w="1668" w:type="pct"/>
            <w:vMerge w:val="restart"/>
            <w:shd w:val="clear" w:color="auto" w:fill="FFFFFF" w:themeFill="background1"/>
            <w:vAlign w:val="center"/>
          </w:tcPr>
          <w:p w14:paraId="6B69D0C0" w14:textId="5D11AD5E" w:rsidR="00827251" w:rsidRPr="00BD3D80" w:rsidRDefault="00827251" w:rsidP="00E644E8">
            <w:pPr>
              <w:spacing w:after="0" w:line="240" w:lineRule="auto"/>
              <w:jc w:val="center"/>
              <w:rPr>
                <w:rFonts w:ascii="Calibri" w:eastAsia="Times New Roman" w:hAnsi="Calibri" w:cs="Arial"/>
                <w:color w:val="000000"/>
                <w:sz w:val="20"/>
                <w:szCs w:val="20"/>
                <w:lang w:val="fr-FR"/>
              </w:rPr>
            </w:pPr>
          </w:p>
        </w:tc>
        <w:tc>
          <w:tcPr>
            <w:tcW w:w="2704" w:type="pct"/>
            <w:shd w:val="clear" w:color="auto" w:fill="FFFFFF" w:themeFill="background1"/>
            <w:vAlign w:val="center"/>
          </w:tcPr>
          <w:p w14:paraId="557A4E50" w14:textId="5C7DC7EF"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p>
        </w:tc>
      </w:tr>
      <w:tr w:rsidR="00827251" w:rsidRPr="00880085" w14:paraId="0AB80584" w14:textId="77777777" w:rsidTr="00C94552">
        <w:tblPrEx>
          <w:shd w:val="clear" w:color="auto" w:fill="FFFFFF" w:themeFill="background1"/>
        </w:tblPrEx>
        <w:trPr>
          <w:trHeight w:val="70"/>
        </w:trPr>
        <w:tc>
          <w:tcPr>
            <w:tcW w:w="628" w:type="pct"/>
            <w:vMerge/>
            <w:shd w:val="clear" w:color="auto" w:fill="FFFFFF" w:themeFill="background1"/>
          </w:tcPr>
          <w:p w14:paraId="37ED1565" w14:textId="77777777" w:rsidR="00827251" w:rsidRPr="00BD3D80" w:rsidRDefault="00827251" w:rsidP="00E644E8">
            <w:pPr>
              <w:spacing w:after="0" w:line="240" w:lineRule="auto"/>
              <w:jc w:val="center"/>
              <w:rPr>
                <w:rFonts w:ascii="Calibri" w:eastAsia="Times New Roman" w:hAnsi="Calibri" w:cs="Arial"/>
                <w:color w:val="000000"/>
                <w:sz w:val="20"/>
                <w:szCs w:val="20"/>
                <w:u w:val="single"/>
                <w:lang w:val="fr-FR"/>
              </w:rPr>
            </w:pPr>
          </w:p>
        </w:tc>
        <w:tc>
          <w:tcPr>
            <w:tcW w:w="1668" w:type="pct"/>
            <w:vMerge/>
            <w:shd w:val="clear" w:color="auto" w:fill="FFFFFF" w:themeFill="background1"/>
            <w:vAlign w:val="center"/>
          </w:tcPr>
          <w:p w14:paraId="3CC774E7" w14:textId="10DAE0C1" w:rsidR="00827251" w:rsidRPr="00BD3D80" w:rsidRDefault="00827251" w:rsidP="00E644E8">
            <w:pPr>
              <w:spacing w:after="0" w:line="240" w:lineRule="auto"/>
              <w:jc w:val="center"/>
              <w:rPr>
                <w:rFonts w:ascii="Calibri" w:eastAsia="Times New Roman" w:hAnsi="Calibri" w:cs="Arial"/>
                <w:color w:val="000000"/>
                <w:sz w:val="20"/>
                <w:szCs w:val="20"/>
                <w:u w:val="single"/>
                <w:lang w:val="fr-FR"/>
              </w:rPr>
            </w:pPr>
          </w:p>
        </w:tc>
        <w:tc>
          <w:tcPr>
            <w:tcW w:w="2704" w:type="pct"/>
            <w:shd w:val="clear" w:color="auto" w:fill="FFFFFF" w:themeFill="background1"/>
            <w:vAlign w:val="center"/>
          </w:tcPr>
          <w:p w14:paraId="4ADC911E" w14:textId="606C08FE"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p>
        </w:tc>
      </w:tr>
      <w:tr w:rsidR="00827251" w:rsidRPr="00880085" w14:paraId="5D230FAF" w14:textId="77777777" w:rsidTr="00C94552">
        <w:tblPrEx>
          <w:shd w:val="clear" w:color="auto" w:fill="FFFFFF" w:themeFill="background1"/>
        </w:tblPrEx>
        <w:trPr>
          <w:trHeight w:val="70"/>
        </w:trPr>
        <w:tc>
          <w:tcPr>
            <w:tcW w:w="628" w:type="pct"/>
            <w:vMerge/>
            <w:shd w:val="clear" w:color="auto" w:fill="FFFFFF" w:themeFill="background1"/>
          </w:tcPr>
          <w:p w14:paraId="364F139E" w14:textId="77777777" w:rsidR="00827251" w:rsidRPr="00BD3D80" w:rsidRDefault="00827251" w:rsidP="00E644E8">
            <w:pPr>
              <w:spacing w:after="0" w:line="240" w:lineRule="auto"/>
              <w:jc w:val="center"/>
              <w:rPr>
                <w:rFonts w:ascii="Calibri" w:eastAsia="Times New Roman" w:hAnsi="Calibri" w:cs="Arial"/>
                <w:color w:val="000000"/>
                <w:sz w:val="20"/>
                <w:szCs w:val="20"/>
                <w:u w:val="single"/>
                <w:lang w:val="fr-FR"/>
              </w:rPr>
            </w:pPr>
          </w:p>
        </w:tc>
        <w:tc>
          <w:tcPr>
            <w:tcW w:w="1668" w:type="pct"/>
            <w:vMerge/>
            <w:shd w:val="clear" w:color="auto" w:fill="FFFFFF" w:themeFill="background1"/>
            <w:vAlign w:val="center"/>
          </w:tcPr>
          <w:p w14:paraId="50B855B8" w14:textId="1D5A8FE5" w:rsidR="00827251" w:rsidRPr="00BD3D80" w:rsidRDefault="00827251" w:rsidP="00E644E8">
            <w:pPr>
              <w:spacing w:after="0" w:line="240" w:lineRule="auto"/>
              <w:jc w:val="center"/>
              <w:rPr>
                <w:rFonts w:ascii="Calibri" w:eastAsia="Times New Roman" w:hAnsi="Calibri" w:cs="Arial"/>
                <w:color w:val="000000"/>
                <w:sz w:val="20"/>
                <w:szCs w:val="20"/>
                <w:u w:val="single"/>
                <w:lang w:val="fr-FR"/>
              </w:rPr>
            </w:pPr>
          </w:p>
        </w:tc>
        <w:tc>
          <w:tcPr>
            <w:tcW w:w="2704" w:type="pct"/>
            <w:shd w:val="clear" w:color="auto" w:fill="FFFFFF" w:themeFill="background1"/>
            <w:vAlign w:val="center"/>
          </w:tcPr>
          <w:p w14:paraId="4ABD5999" w14:textId="045868FF"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p>
        </w:tc>
      </w:tr>
      <w:tr w:rsidR="00151E80" w:rsidRPr="00880085" w14:paraId="6267E73D" w14:textId="77777777" w:rsidTr="00151E80">
        <w:tblPrEx>
          <w:shd w:val="clear" w:color="auto" w:fill="FFFFFF" w:themeFill="background1"/>
        </w:tblPrEx>
        <w:trPr>
          <w:trHeight w:val="5944"/>
        </w:trPr>
        <w:tc>
          <w:tcPr>
            <w:tcW w:w="628" w:type="pct"/>
            <w:vMerge w:val="restart"/>
            <w:shd w:val="clear" w:color="auto" w:fill="FFFFFF" w:themeFill="background1"/>
          </w:tcPr>
          <w:p w14:paraId="12DB8A5B" w14:textId="3F792466" w:rsidR="00151E80" w:rsidRPr="008C325D" w:rsidRDefault="00151E80" w:rsidP="00E644E8">
            <w:pPr>
              <w:spacing w:after="0" w:line="240" w:lineRule="auto"/>
              <w:rPr>
                <w:rFonts w:eastAsia="Times New Roman" w:cs="Arial"/>
                <w:b/>
                <w:color w:val="000000"/>
                <w:sz w:val="20"/>
                <w:szCs w:val="20"/>
              </w:rPr>
            </w:pPr>
            <w:r>
              <w:rPr>
                <w:rFonts w:ascii="Calibri" w:eastAsia="Times New Roman" w:hAnsi="Calibri" w:cs="Arial"/>
                <w:sz w:val="20"/>
                <w:szCs w:val="20"/>
                <w:lang w:val="fr-FR"/>
              </w:rPr>
              <w:lastRenderedPageBreak/>
              <w:t>Résultat intermédiaire</w:t>
            </w:r>
            <w:r w:rsidR="002C54BD">
              <w:rPr>
                <w:rFonts w:ascii="Calibri" w:eastAsia="Times New Roman" w:hAnsi="Calibri" w:cs="Arial"/>
                <w:sz w:val="20"/>
                <w:szCs w:val="20"/>
                <w:lang w:val="fr-FR"/>
              </w:rPr>
              <w:t> </w:t>
            </w:r>
            <w:r>
              <w:rPr>
                <w:rFonts w:eastAsia="Times New Roman" w:cs="Arial"/>
                <w:b/>
                <w:bCs/>
                <w:color w:val="000000"/>
                <w:sz w:val="20"/>
                <w:szCs w:val="20"/>
                <w:lang w:val="fr-FR"/>
              </w:rPr>
              <w:t>4.5</w:t>
            </w:r>
          </w:p>
        </w:tc>
        <w:tc>
          <w:tcPr>
            <w:tcW w:w="1668" w:type="pct"/>
            <w:shd w:val="clear" w:color="auto" w:fill="FFFFFF" w:themeFill="background1"/>
            <w:vAlign w:val="center"/>
            <w:hideMark/>
          </w:tcPr>
          <w:p w14:paraId="251D82E5" w14:textId="49C15F7D" w:rsidR="00151E80" w:rsidRPr="00BD3D80" w:rsidRDefault="00151E80" w:rsidP="00E644E8">
            <w:pPr>
              <w:spacing w:after="0" w:line="240" w:lineRule="auto"/>
              <w:rPr>
                <w:rFonts w:eastAsia="Times New Roman" w:cs="Arial"/>
                <w:b/>
                <w:color w:val="000000"/>
                <w:sz w:val="20"/>
                <w:szCs w:val="20"/>
                <w:lang w:val="fr-FR"/>
              </w:rPr>
            </w:pPr>
            <w:r>
              <w:rPr>
                <w:rFonts w:eastAsia="Times New Roman" w:cs="Arial"/>
                <w:b/>
                <w:bCs/>
                <w:color w:val="000000"/>
                <w:sz w:val="20"/>
                <w:szCs w:val="20"/>
                <w:lang w:val="fr-FR"/>
              </w:rPr>
              <w:t xml:space="preserve">4.5.1. Les </w:t>
            </w:r>
            <w:r w:rsidR="00566403">
              <w:rPr>
                <w:rFonts w:eastAsia="Times New Roman" w:cs="Arial"/>
                <w:b/>
                <w:bCs/>
                <w:color w:val="000000"/>
                <w:sz w:val="20"/>
                <w:szCs w:val="20"/>
                <w:lang w:val="fr-FR"/>
              </w:rPr>
              <w:t>A</w:t>
            </w:r>
            <w:r>
              <w:rPr>
                <w:rFonts w:eastAsia="Times New Roman" w:cs="Arial"/>
                <w:b/>
                <w:bCs/>
                <w:color w:val="000000"/>
                <w:sz w:val="20"/>
                <w:szCs w:val="20"/>
                <w:lang w:val="fr-FR"/>
              </w:rPr>
              <w:t xml:space="preserve">lliances de la société civile ont des termes de référence, </w:t>
            </w:r>
            <w:r w:rsidR="00E65980">
              <w:rPr>
                <w:rFonts w:eastAsia="Times New Roman" w:cs="Arial"/>
                <w:b/>
                <w:bCs/>
                <w:color w:val="000000"/>
                <w:sz w:val="20"/>
                <w:szCs w:val="20"/>
                <w:lang w:val="fr-FR"/>
              </w:rPr>
              <w:t xml:space="preserve">des </w:t>
            </w:r>
            <w:r>
              <w:rPr>
                <w:rFonts w:eastAsia="Times New Roman" w:cs="Arial"/>
                <w:b/>
                <w:bCs/>
                <w:color w:val="000000"/>
                <w:sz w:val="20"/>
                <w:szCs w:val="20"/>
                <w:lang w:val="fr-FR"/>
              </w:rPr>
              <w:t>processus d</w:t>
            </w:r>
            <w:r w:rsidR="002C54BD">
              <w:rPr>
                <w:rFonts w:eastAsia="Times New Roman" w:cs="Arial"/>
                <w:b/>
                <w:bCs/>
                <w:color w:val="000000"/>
                <w:sz w:val="20"/>
                <w:szCs w:val="20"/>
                <w:lang w:val="fr-FR"/>
              </w:rPr>
              <w:t>’</w:t>
            </w:r>
            <w:r>
              <w:rPr>
                <w:rFonts w:eastAsia="Times New Roman" w:cs="Arial"/>
                <w:b/>
                <w:bCs/>
                <w:color w:val="000000"/>
                <w:sz w:val="20"/>
                <w:szCs w:val="20"/>
                <w:lang w:val="fr-FR"/>
              </w:rPr>
              <w:t xml:space="preserve">adhésion et </w:t>
            </w:r>
            <w:r w:rsidR="00E65980">
              <w:rPr>
                <w:rFonts w:eastAsia="Times New Roman" w:cs="Arial"/>
                <w:b/>
                <w:bCs/>
                <w:color w:val="000000"/>
                <w:sz w:val="20"/>
                <w:szCs w:val="20"/>
                <w:lang w:val="fr-FR"/>
              </w:rPr>
              <w:t xml:space="preserve">une </w:t>
            </w:r>
            <w:r>
              <w:rPr>
                <w:rFonts w:eastAsia="Times New Roman" w:cs="Arial"/>
                <w:b/>
                <w:bCs/>
                <w:color w:val="000000"/>
                <w:sz w:val="20"/>
                <w:szCs w:val="20"/>
                <w:lang w:val="fr-FR"/>
              </w:rPr>
              <w:t xml:space="preserve">structure de gouvernance fonctionnelle globale bien définis </w:t>
            </w:r>
            <w:r>
              <w:rPr>
                <w:rFonts w:eastAsia="Times New Roman" w:cs="Arial"/>
                <w:color w:val="000000"/>
                <w:sz w:val="20"/>
                <w:szCs w:val="20"/>
                <w:lang w:val="fr-FR"/>
              </w:rPr>
              <w:t>(*contribuent à l</w:t>
            </w:r>
            <w:r w:rsidR="002C54BD">
              <w:rPr>
                <w:rFonts w:eastAsia="Times New Roman" w:cs="Arial"/>
                <w:color w:val="000000"/>
                <w:sz w:val="20"/>
                <w:szCs w:val="20"/>
                <w:lang w:val="fr-FR"/>
              </w:rPr>
              <w:t>’</w:t>
            </w:r>
            <w:r>
              <w:rPr>
                <w:rFonts w:eastAsia="Times New Roman" w:cs="Arial"/>
                <w:color w:val="000000"/>
                <w:sz w:val="20"/>
                <w:szCs w:val="20"/>
                <w:lang w:val="fr-FR"/>
              </w:rPr>
              <w:t>indice de gouvernance)</w:t>
            </w:r>
            <w:r>
              <w:rPr>
                <w:rFonts w:eastAsia="Times New Roman" w:cs="Arial"/>
                <w:b/>
                <w:bCs/>
                <w:color w:val="000000"/>
                <w:sz w:val="20"/>
                <w:szCs w:val="20"/>
                <w:lang w:val="fr-FR"/>
              </w:rPr>
              <w:t xml:space="preserve"> </w:t>
            </w:r>
          </w:p>
        </w:tc>
        <w:tc>
          <w:tcPr>
            <w:tcW w:w="2704" w:type="pct"/>
            <w:shd w:val="clear" w:color="auto" w:fill="FFFFFF" w:themeFill="background1"/>
            <w:vAlign w:val="center"/>
            <w:hideMark/>
          </w:tcPr>
          <w:p w14:paraId="1A3002A3" w14:textId="4A376278" w:rsidR="00151E80" w:rsidRPr="00BD3D80" w:rsidRDefault="00A9706F" w:rsidP="00E644E8">
            <w:pPr>
              <w:pStyle w:val="ListParagraph"/>
              <w:numPr>
                <w:ilvl w:val="0"/>
                <w:numId w:val="21"/>
              </w:numPr>
              <w:spacing w:after="0" w:line="240" w:lineRule="auto"/>
              <w:rPr>
                <w:rFonts w:ascii="Calibri" w:eastAsia="Times New Roman" w:hAnsi="Calibri" w:cs="Arial"/>
                <w:sz w:val="20"/>
                <w:szCs w:val="20"/>
                <w:lang w:val="fr-FR"/>
              </w:rPr>
            </w:pPr>
            <w:bookmarkStart w:id="27" w:name="_Hlk510797323"/>
            <w:r>
              <w:rPr>
                <w:rFonts w:ascii="Calibri" w:eastAsia="Times New Roman" w:hAnsi="Calibri" w:cs="Arial"/>
                <w:sz w:val="20"/>
                <w:szCs w:val="20"/>
                <w:lang w:val="fr-FR"/>
              </w:rPr>
              <w:t xml:space="preserve">Comité </w:t>
            </w:r>
            <w:r w:rsidR="00151E80">
              <w:rPr>
                <w:rFonts w:ascii="Calibri" w:eastAsia="Times New Roman" w:hAnsi="Calibri" w:cs="Arial"/>
                <w:sz w:val="20"/>
                <w:szCs w:val="20"/>
                <w:lang w:val="fr-FR"/>
              </w:rPr>
              <w:t xml:space="preserve">de pilotage/comité exécutif en place et opérationnel* </w:t>
            </w:r>
          </w:p>
          <w:p w14:paraId="3B20E4BA" w14:textId="70FC4508" w:rsidR="00151E80" w:rsidRPr="00BD3D80" w:rsidRDefault="00151E80"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Nombre d</w:t>
            </w:r>
            <w:r w:rsidR="002C54BD">
              <w:rPr>
                <w:rFonts w:ascii="Calibri" w:eastAsia="Times New Roman" w:hAnsi="Calibri" w:cs="Arial"/>
                <w:sz w:val="20"/>
                <w:szCs w:val="20"/>
                <w:lang w:val="fr-FR"/>
              </w:rPr>
              <w:t>’</w:t>
            </w:r>
            <w:r>
              <w:rPr>
                <w:rFonts w:ascii="Calibri" w:eastAsia="Times New Roman" w:hAnsi="Calibri" w:cs="Arial"/>
                <w:sz w:val="20"/>
                <w:szCs w:val="20"/>
                <w:lang w:val="fr-FR"/>
              </w:rPr>
              <w:t>hommes et de femmes membres du comité directeur de l</w:t>
            </w:r>
            <w:r w:rsidR="002C54BD">
              <w:rPr>
                <w:rFonts w:ascii="Calibri" w:eastAsia="Times New Roman" w:hAnsi="Calibri" w:cs="Arial"/>
                <w:sz w:val="20"/>
                <w:szCs w:val="20"/>
                <w:lang w:val="fr-FR"/>
              </w:rPr>
              <w:t>’</w:t>
            </w:r>
            <w:r>
              <w:rPr>
                <w:rFonts w:ascii="Calibri" w:eastAsia="Times New Roman" w:hAnsi="Calibri" w:cs="Arial"/>
                <w:sz w:val="20"/>
                <w:szCs w:val="20"/>
                <w:lang w:val="fr-FR"/>
              </w:rPr>
              <w:t xml:space="preserve">ASC* </w:t>
            </w:r>
          </w:p>
          <w:p w14:paraId="6BFEB410" w14:textId="799E05A0" w:rsidR="00151E80" w:rsidRPr="00BD3D80" w:rsidRDefault="00151E80"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Mise à jour de la liste des membres, y compris les compétences des OSC, leur emplacement, leur taille, leur intervention et leur contribution à l</w:t>
            </w:r>
            <w:r w:rsidR="002C54BD">
              <w:rPr>
                <w:rFonts w:ascii="Calibri" w:eastAsia="Times New Roman" w:hAnsi="Calibri" w:cs="Arial"/>
                <w:sz w:val="20"/>
                <w:szCs w:val="20"/>
                <w:lang w:val="fr-FR"/>
              </w:rPr>
              <w:t>’</w:t>
            </w:r>
            <w:r>
              <w:rPr>
                <w:rFonts w:ascii="Calibri" w:eastAsia="Times New Roman" w:hAnsi="Calibri" w:cs="Arial"/>
                <w:sz w:val="20"/>
                <w:szCs w:val="20"/>
                <w:lang w:val="fr-FR"/>
              </w:rPr>
              <w:t>Alliance*</w:t>
            </w:r>
            <w:r w:rsidR="00DC67E8">
              <w:rPr>
                <w:rFonts w:ascii="Calibri" w:eastAsia="Times New Roman" w:hAnsi="Calibri" w:cs="Arial"/>
                <w:sz w:val="20"/>
                <w:szCs w:val="20"/>
                <w:lang w:val="fr-FR"/>
              </w:rPr>
              <w:t>.</w:t>
            </w:r>
            <w:r>
              <w:rPr>
                <w:rFonts w:ascii="Calibri" w:eastAsia="Times New Roman" w:hAnsi="Calibri" w:cs="Arial"/>
                <w:sz w:val="20"/>
                <w:szCs w:val="20"/>
                <w:lang w:val="fr-FR"/>
              </w:rPr>
              <w:t xml:space="preserve"> </w:t>
            </w:r>
          </w:p>
          <w:p w14:paraId="04EF4D98" w14:textId="36FEA376" w:rsidR="00151E80" w:rsidRPr="00BD3D80" w:rsidRDefault="00151E80"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 xml:space="preserve">Nombre de membres des OSC, ventilés par organisations communautaires et confessionnelles, ONG, ONGI, coalitions, universités, etc.* </w:t>
            </w:r>
          </w:p>
          <w:p w14:paraId="63E377D3" w14:textId="44357F96" w:rsidR="00151E80" w:rsidRPr="00BD3D80" w:rsidRDefault="00151E80"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Nombre de réunions de coordination/collaboration des ASC au niveau national/infranational ou virtuel</w:t>
            </w:r>
            <w:r w:rsidR="002C54BD">
              <w:rPr>
                <w:rFonts w:ascii="Calibri" w:eastAsia="Times New Roman" w:hAnsi="Calibri" w:cs="Arial"/>
                <w:sz w:val="20"/>
                <w:szCs w:val="20"/>
                <w:lang w:val="fr-FR"/>
              </w:rPr>
              <w:t> </w:t>
            </w:r>
            <w:r>
              <w:rPr>
                <w:rFonts w:ascii="Calibri" w:eastAsia="Times New Roman" w:hAnsi="Calibri" w:cs="Arial"/>
                <w:sz w:val="20"/>
                <w:szCs w:val="20"/>
                <w:lang w:val="fr-FR"/>
              </w:rPr>
              <w:t xml:space="preserve">: nombre de réunions du </w:t>
            </w:r>
            <w:r w:rsidR="00644F77" w:rsidRPr="00325D8D">
              <w:rPr>
                <w:rFonts w:ascii="Calibri" w:eastAsia="Times New Roman" w:hAnsi="Calibri" w:cs="Arial"/>
                <w:sz w:val="20"/>
                <w:szCs w:val="20"/>
                <w:lang w:val="fr-FR"/>
              </w:rPr>
              <w:t xml:space="preserve">comité </w:t>
            </w:r>
            <w:r w:rsidRPr="00325D8D">
              <w:rPr>
                <w:rFonts w:ascii="Calibri" w:eastAsia="Times New Roman" w:hAnsi="Calibri" w:cs="Arial"/>
                <w:sz w:val="20"/>
                <w:szCs w:val="20"/>
                <w:lang w:val="fr-FR"/>
              </w:rPr>
              <w:t>de pilotage/</w:t>
            </w:r>
            <w:r>
              <w:rPr>
                <w:rFonts w:ascii="Calibri" w:eastAsia="Times New Roman" w:hAnsi="Calibri" w:cs="Arial"/>
                <w:sz w:val="20"/>
                <w:szCs w:val="20"/>
                <w:lang w:val="fr-FR"/>
              </w:rPr>
              <w:t>conseil d</w:t>
            </w:r>
            <w:r w:rsidR="002C54BD">
              <w:rPr>
                <w:rFonts w:ascii="Calibri" w:eastAsia="Times New Roman" w:hAnsi="Calibri" w:cs="Arial"/>
                <w:sz w:val="20"/>
                <w:szCs w:val="20"/>
                <w:lang w:val="fr-FR"/>
              </w:rPr>
              <w:t>’</w:t>
            </w:r>
            <w:r>
              <w:rPr>
                <w:rFonts w:ascii="Calibri" w:eastAsia="Times New Roman" w:hAnsi="Calibri" w:cs="Arial"/>
                <w:sz w:val="20"/>
                <w:szCs w:val="20"/>
                <w:lang w:val="fr-FR"/>
              </w:rPr>
              <w:t>administration</w:t>
            </w:r>
            <w:r w:rsidR="002C54BD">
              <w:rPr>
                <w:rFonts w:ascii="Calibri" w:eastAsia="Times New Roman" w:hAnsi="Calibri" w:cs="Arial"/>
                <w:sz w:val="20"/>
                <w:szCs w:val="20"/>
                <w:lang w:val="fr-FR"/>
              </w:rPr>
              <w:t> </w:t>
            </w:r>
            <w:r>
              <w:rPr>
                <w:rFonts w:ascii="Calibri" w:eastAsia="Times New Roman" w:hAnsi="Calibri" w:cs="Arial"/>
                <w:sz w:val="20"/>
                <w:szCs w:val="20"/>
                <w:lang w:val="fr-FR"/>
              </w:rPr>
              <w:t>; nombre d</w:t>
            </w:r>
            <w:r w:rsidR="002C54BD">
              <w:rPr>
                <w:rFonts w:ascii="Calibri" w:eastAsia="Times New Roman" w:hAnsi="Calibri" w:cs="Arial"/>
                <w:sz w:val="20"/>
                <w:szCs w:val="20"/>
                <w:lang w:val="fr-FR"/>
              </w:rPr>
              <w:t>’</w:t>
            </w:r>
            <w:r>
              <w:rPr>
                <w:rFonts w:ascii="Calibri" w:eastAsia="Times New Roman" w:hAnsi="Calibri" w:cs="Arial"/>
                <w:sz w:val="20"/>
                <w:szCs w:val="20"/>
                <w:lang w:val="fr-FR"/>
              </w:rPr>
              <w:t>assemblées générales annuelles organisées</w:t>
            </w:r>
            <w:r w:rsidR="002C54BD">
              <w:rPr>
                <w:rFonts w:ascii="Calibri" w:eastAsia="Times New Roman" w:hAnsi="Calibri" w:cs="Arial"/>
                <w:sz w:val="20"/>
                <w:szCs w:val="20"/>
                <w:lang w:val="fr-FR"/>
              </w:rPr>
              <w:t> </w:t>
            </w:r>
            <w:r>
              <w:rPr>
                <w:rFonts w:ascii="Calibri" w:eastAsia="Times New Roman" w:hAnsi="Calibri" w:cs="Arial"/>
                <w:sz w:val="20"/>
                <w:szCs w:val="20"/>
                <w:lang w:val="fr-FR"/>
              </w:rPr>
              <w:t xml:space="preserve">; nombre de réunions de coordination organisées au niveau du district/de la province* </w:t>
            </w:r>
          </w:p>
          <w:p w14:paraId="5AF357DD" w14:textId="6EC46475" w:rsidR="00151E80" w:rsidRPr="00BD3D80" w:rsidRDefault="00151E80"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Code de conduite des membres élaboré et signé par les membres*</w:t>
            </w:r>
          </w:p>
          <w:p w14:paraId="40E3F64C" w14:textId="4A568E02" w:rsidR="00151E80" w:rsidRPr="00250A20" w:rsidRDefault="00151E80" w:rsidP="00E644E8">
            <w:pPr>
              <w:pStyle w:val="ListParagraph"/>
              <w:numPr>
                <w:ilvl w:val="0"/>
                <w:numId w:val="21"/>
              </w:numPr>
              <w:rPr>
                <w:sz w:val="20"/>
                <w:szCs w:val="20"/>
              </w:rPr>
            </w:pPr>
            <w:r>
              <w:rPr>
                <w:sz w:val="20"/>
                <w:szCs w:val="20"/>
                <w:lang w:val="fr-FR"/>
              </w:rPr>
              <w:t>Processus d</w:t>
            </w:r>
            <w:r w:rsidR="002C54BD">
              <w:rPr>
                <w:sz w:val="20"/>
                <w:szCs w:val="20"/>
                <w:lang w:val="fr-FR"/>
              </w:rPr>
              <w:t>’</w:t>
            </w:r>
            <w:r>
              <w:rPr>
                <w:sz w:val="20"/>
                <w:szCs w:val="20"/>
                <w:lang w:val="fr-FR"/>
              </w:rPr>
              <w:t>adhésion en place*</w:t>
            </w:r>
          </w:p>
          <w:p w14:paraId="32886D7A" w14:textId="19EB71C1" w:rsidR="00151E80" w:rsidRPr="00BD3D80" w:rsidRDefault="00151E80" w:rsidP="00E644E8">
            <w:pPr>
              <w:pStyle w:val="ListParagraph"/>
              <w:numPr>
                <w:ilvl w:val="0"/>
                <w:numId w:val="21"/>
              </w:numPr>
              <w:rPr>
                <w:sz w:val="20"/>
                <w:szCs w:val="20"/>
                <w:lang w:val="fr-FR"/>
              </w:rPr>
            </w:pPr>
            <w:r>
              <w:rPr>
                <w:sz w:val="20"/>
                <w:szCs w:val="20"/>
                <w:lang w:val="fr-FR"/>
              </w:rPr>
              <w:t>Pourcentage d</w:t>
            </w:r>
            <w:r w:rsidR="002C54BD">
              <w:rPr>
                <w:sz w:val="20"/>
                <w:szCs w:val="20"/>
                <w:lang w:val="fr-FR"/>
              </w:rPr>
              <w:t>’</w:t>
            </w:r>
            <w:r>
              <w:rPr>
                <w:sz w:val="20"/>
                <w:szCs w:val="20"/>
                <w:lang w:val="fr-FR"/>
              </w:rPr>
              <w:t>augmentation du nombre de membres*</w:t>
            </w:r>
          </w:p>
          <w:p w14:paraId="5873CD17" w14:textId="25160CA5" w:rsidR="00151E80" w:rsidRPr="00BD3D80" w:rsidRDefault="00151E80" w:rsidP="00E644E8">
            <w:pPr>
              <w:pStyle w:val="ListParagraph"/>
              <w:numPr>
                <w:ilvl w:val="0"/>
                <w:numId w:val="21"/>
              </w:numPr>
              <w:rPr>
                <w:sz w:val="20"/>
                <w:szCs w:val="20"/>
                <w:lang w:val="fr-FR"/>
              </w:rPr>
            </w:pPr>
            <w:r>
              <w:rPr>
                <w:sz w:val="20"/>
                <w:szCs w:val="20"/>
                <w:lang w:val="fr-FR"/>
              </w:rPr>
              <w:t>Engagement accru des membres des OSC dans les activités de l</w:t>
            </w:r>
            <w:r w:rsidR="002C54BD">
              <w:rPr>
                <w:sz w:val="20"/>
                <w:szCs w:val="20"/>
                <w:lang w:val="fr-FR"/>
              </w:rPr>
              <w:t>’</w:t>
            </w:r>
            <w:r>
              <w:rPr>
                <w:sz w:val="20"/>
                <w:szCs w:val="20"/>
                <w:lang w:val="fr-FR"/>
              </w:rPr>
              <w:t>ASC (participation accrue aux événements, temps consacré, financement engagé pour les activités de nutrition)*</w:t>
            </w:r>
          </w:p>
          <w:p w14:paraId="692ABD0B" w14:textId="768EE8A5" w:rsidR="00151E80" w:rsidRPr="00BD3D80" w:rsidRDefault="00151E80" w:rsidP="00E644E8">
            <w:pPr>
              <w:pStyle w:val="ListParagraph"/>
              <w:numPr>
                <w:ilvl w:val="0"/>
                <w:numId w:val="21"/>
              </w:numPr>
              <w:rPr>
                <w:rFonts w:eastAsia="Times New Roman" w:cs="Arial"/>
                <w:color w:val="000000"/>
                <w:sz w:val="20"/>
                <w:szCs w:val="20"/>
                <w:lang w:val="fr-FR"/>
              </w:rPr>
            </w:pPr>
            <w:r>
              <w:rPr>
                <w:rFonts w:eastAsia="Times New Roman" w:cs="Arial"/>
                <w:color w:val="000000"/>
                <w:sz w:val="20"/>
                <w:szCs w:val="20"/>
                <w:lang w:val="fr-FR"/>
              </w:rPr>
              <w:t>Mise en place et application d</w:t>
            </w:r>
            <w:r w:rsidR="002C54BD">
              <w:rPr>
                <w:rFonts w:eastAsia="Times New Roman" w:cs="Arial"/>
                <w:color w:val="000000"/>
                <w:sz w:val="20"/>
                <w:szCs w:val="20"/>
                <w:lang w:val="fr-FR"/>
              </w:rPr>
              <w:t>’</w:t>
            </w:r>
            <w:r>
              <w:rPr>
                <w:rFonts w:eastAsia="Times New Roman" w:cs="Arial"/>
                <w:color w:val="000000"/>
                <w:sz w:val="20"/>
                <w:szCs w:val="20"/>
                <w:lang w:val="fr-FR"/>
              </w:rPr>
              <w:t>une politique d</w:t>
            </w:r>
            <w:r w:rsidR="002C54BD">
              <w:rPr>
                <w:rFonts w:eastAsia="Times New Roman" w:cs="Arial"/>
                <w:color w:val="000000"/>
                <w:sz w:val="20"/>
                <w:szCs w:val="20"/>
                <w:lang w:val="fr-FR"/>
              </w:rPr>
              <w:t>’</w:t>
            </w:r>
            <w:r>
              <w:rPr>
                <w:rFonts w:eastAsia="Times New Roman" w:cs="Arial"/>
                <w:color w:val="000000"/>
                <w:sz w:val="20"/>
                <w:szCs w:val="20"/>
                <w:lang w:val="fr-FR"/>
              </w:rPr>
              <w:t>autonomisation des femmes et d</w:t>
            </w:r>
            <w:r w:rsidR="002C54BD">
              <w:rPr>
                <w:rFonts w:eastAsia="Times New Roman" w:cs="Arial"/>
                <w:color w:val="000000"/>
                <w:sz w:val="20"/>
                <w:szCs w:val="20"/>
                <w:lang w:val="fr-FR"/>
              </w:rPr>
              <w:t>’</w:t>
            </w:r>
            <w:r>
              <w:rPr>
                <w:rFonts w:eastAsia="Times New Roman" w:cs="Arial"/>
                <w:color w:val="000000"/>
                <w:sz w:val="20"/>
                <w:szCs w:val="20"/>
                <w:lang w:val="fr-FR"/>
              </w:rPr>
              <w:t>égalité des chances *</w:t>
            </w:r>
          </w:p>
          <w:p w14:paraId="51578DBD" w14:textId="121B3707" w:rsidR="00151E80" w:rsidRPr="00BD3D80" w:rsidRDefault="00151E80" w:rsidP="00E644E8">
            <w:pPr>
              <w:pStyle w:val="ListParagraph"/>
              <w:numPr>
                <w:ilvl w:val="0"/>
                <w:numId w:val="21"/>
              </w:numPr>
              <w:rPr>
                <w:sz w:val="20"/>
                <w:szCs w:val="20"/>
                <w:lang w:val="fr-FR"/>
              </w:rPr>
            </w:pPr>
            <w:r>
              <w:rPr>
                <w:sz w:val="20"/>
                <w:szCs w:val="20"/>
                <w:lang w:val="fr-FR"/>
              </w:rPr>
              <w:t>Nombre de femmes, d</w:t>
            </w:r>
            <w:r w:rsidR="002C54BD">
              <w:rPr>
                <w:sz w:val="20"/>
                <w:szCs w:val="20"/>
                <w:lang w:val="fr-FR"/>
              </w:rPr>
              <w:t>’</w:t>
            </w:r>
            <w:r>
              <w:rPr>
                <w:sz w:val="20"/>
                <w:szCs w:val="20"/>
                <w:lang w:val="fr-FR"/>
              </w:rPr>
              <w:t>hommes (jeunes</w:t>
            </w:r>
            <w:r w:rsidR="002C54BD">
              <w:rPr>
                <w:sz w:val="20"/>
                <w:szCs w:val="20"/>
                <w:lang w:val="fr-FR"/>
              </w:rPr>
              <w:t> </w:t>
            </w:r>
            <w:r>
              <w:rPr>
                <w:sz w:val="20"/>
                <w:szCs w:val="20"/>
                <w:lang w:val="fr-FR"/>
              </w:rPr>
              <w:t>?) dans les organes de décision de l</w:t>
            </w:r>
            <w:r w:rsidR="002C54BD">
              <w:rPr>
                <w:sz w:val="20"/>
                <w:szCs w:val="20"/>
                <w:lang w:val="fr-FR"/>
              </w:rPr>
              <w:t>’</w:t>
            </w:r>
            <w:r>
              <w:rPr>
                <w:sz w:val="20"/>
                <w:szCs w:val="20"/>
                <w:lang w:val="fr-FR"/>
              </w:rPr>
              <w:t>ASC (niveau national/</w:t>
            </w:r>
            <w:r w:rsidR="00E65980">
              <w:rPr>
                <w:sz w:val="20"/>
                <w:szCs w:val="20"/>
                <w:lang w:val="fr-FR"/>
              </w:rPr>
              <w:t>infranational</w:t>
            </w:r>
            <w:r>
              <w:rPr>
                <w:sz w:val="20"/>
                <w:szCs w:val="20"/>
                <w:lang w:val="fr-FR"/>
              </w:rPr>
              <w:t>)*</w:t>
            </w:r>
          </w:p>
          <w:p w14:paraId="3BE498AA" w14:textId="0C0EE49D" w:rsidR="00151E80" w:rsidRPr="00BD3D80" w:rsidRDefault="00151E80" w:rsidP="00E644E8">
            <w:pPr>
              <w:pStyle w:val="ListParagraph"/>
              <w:numPr>
                <w:ilvl w:val="0"/>
                <w:numId w:val="21"/>
              </w:numPr>
              <w:rPr>
                <w:sz w:val="20"/>
                <w:szCs w:val="20"/>
                <w:lang w:val="fr-FR"/>
              </w:rPr>
            </w:pPr>
            <w:r>
              <w:rPr>
                <w:sz w:val="20"/>
                <w:szCs w:val="20"/>
                <w:lang w:val="fr-FR"/>
              </w:rPr>
              <w:t xml:space="preserve">Nombre de </w:t>
            </w:r>
            <w:r w:rsidR="00377D1E">
              <w:rPr>
                <w:sz w:val="20"/>
                <w:szCs w:val="20"/>
                <w:lang w:val="fr-FR"/>
              </w:rPr>
              <w:t>plateformes</w:t>
            </w:r>
            <w:r>
              <w:rPr>
                <w:sz w:val="20"/>
                <w:szCs w:val="20"/>
                <w:lang w:val="fr-FR"/>
              </w:rPr>
              <w:t xml:space="preserve"> de coordination décentralisées des OSC en place (ventilées par province, district, communauté) *</w:t>
            </w:r>
          </w:p>
          <w:p w14:paraId="5C636A4E" w14:textId="27F5F7AA" w:rsidR="00151E80" w:rsidRPr="00BD3D80" w:rsidRDefault="00151E80" w:rsidP="00E644E8">
            <w:pPr>
              <w:pStyle w:val="ListParagraph"/>
              <w:numPr>
                <w:ilvl w:val="0"/>
                <w:numId w:val="21"/>
              </w:numPr>
              <w:rPr>
                <w:sz w:val="20"/>
                <w:szCs w:val="20"/>
                <w:lang w:val="fr-FR"/>
              </w:rPr>
            </w:pPr>
            <w:bookmarkStart w:id="28" w:name="_Hlk510797403"/>
            <w:r>
              <w:rPr>
                <w:sz w:val="20"/>
                <w:szCs w:val="20"/>
                <w:lang w:val="fr-FR"/>
              </w:rPr>
              <w:t xml:space="preserve">La structure décentralisée des ASC est opérationnelle (tenue de réunions, contribution aux plateformes </w:t>
            </w:r>
            <w:proofErr w:type="spellStart"/>
            <w:r>
              <w:rPr>
                <w:sz w:val="20"/>
                <w:szCs w:val="20"/>
                <w:lang w:val="fr-FR"/>
              </w:rPr>
              <w:t>multiacteurs</w:t>
            </w:r>
            <w:proofErr w:type="spellEnd"/>
            <w:r>
              <w:rPr>
                <w:sz w:val="20"/>
                <w:szCs w:val="20"/>
                <w:lang w:val="fr-FR"/>
              </w:rPr>
              <w:t>, mise en œuvre de leur plan de travail</w:t>
            </w:r>
            <w:bookmarkEnd w:id="27"/>
            <w:bookmarkEnd w:id="28"/>
            <w:r w:rsidR="00DC67E8">
              <w:rPr>
                <w:sz w:val="20"/>
                <w:szCs w:val="20"/>
                <w:lang w:val="fr-FR"/>
              </w:rPr>
              <w:t>)</w:t>
            </w:r>
          </w:p>
          <w:p w14:paraId="6B82B306" w14:textId="5044429F" w:rsidR="00151E80" w:rsidRPr="00BD3D80" w:rsidRDefault="00151E80" w:rsidP="00E644E8">
            <w:pPr>
              <w:pStyle w:val="ListParagraph"/>
              <w:numPr>
                <w:ilvl w:val="0"/>
                <w:numId w:val="21"/>
              </w:numPr>
              <w:spacing w:after="0"/>
              <w:rPr>
                <w:sz w:val="20"/>
                <w:szCs w:val="20"/>
                <w:lang w:val="fr-FR"/>
              </w:rPr>
            </w:pPr>
            <w:r>
              <w:rPr>
                <w:rFonts w:ascii="Calibri" w:eastAsia="Times New Roman" w:hAnsi="Calibri" w:cs="Arial"/>
                <w:color w:val="538135" w:themeColor="accent6" w:themeShade="BF"/>
                <w:sz w:val="20"/>
                <w:szCs w:val="20"/>
                <w:lang w:val="fr-FR"/>
              </w:rPr>
              <w:t xml:space="preserve">Des lignes directrices révisées sur la gouvernance sont élaborées et </w:t>
            </w:r>
            <w:r w:rsidR="00644F77">
              <w:rPr>
                <w:rFonts w:ascii="Calibri" w:eastAsia="Times New Roman" w:hAnsi="Calibri" w:cs="Arial"/>
                <w:color w:val="538135" w:themeColor="accent6" w:themeShade="BF"/>
                <w:sz w:val="20"/>
                <w:szCs w:val="20"/>
                <w:lang w:val="fr-FR"/>
              </w:rPr>
              <w:t>communiquées aux</w:t>
            </w:r>
            <w:r>
              <w:rPr>
                <w:rFonts w:ascii="Calibri" w:eastAsia="Times New Roman" w:hAnsi="Calibri" w:cs="Arial"/>
                <w:color w:val="538135" w:themeColor="accent6" w:themeShade="BF"/>
                <w:sz w:val="20"/>
                <w:szCs w:val="20"/>
                <w:lang w:val="fr-FR"/>
              </w:rPr>
              <w:t xml:space="preserve"> ASC</w:t>
            </w:r>
          </w:p>
          <w:p w14:paraId="35B283C2" w14:textId="65BCBFCD" w:rsidR="00946626" w:rsidRPr="00BD3D80" w:rsidRDefault="00946626" w:rsidP="00946626">
            <w:pPr>
              <w:pStyle w:val="ListParagraph"/>
              <w:numPr>
                <w:ilvl w:val="0"/>
                <w:numId w:val="21"/>
              </w:numPr>
              <w:spacing w:after="0"/>
              <w:rPr>
                <w:sz w:val="20"/>
                <w:szCs w:val="20"/>
                <w:lang w:val="fr-FR"/>
              </w:rPr>
            </w:pPr>
            <w:r>
              <w:rPr>
                <w:sz w:val="20"/>
                <w:szCs w:val="20"/>
                <w:lang w:val="fr-FR"/>
              </w:rPr>
              <w:t>Pourcentage des ASC ayant une structure infranationale en place</w:t>
            </w:r>
          </w:p>
          <w:p w14:paraId="1C75724F" w14:textId="396B4165" w:rsidR="00946626" w:rsidRPr="00BD3D80" w:rsidRDefault="00946626" w:rsidP="00946626">
            <w:pPr>
              <w:pStyle w:val="ListParagraph"/>
              <w:numPr>
                <w:ilvl w:val="0"/>
                <w:numId w:val="21"/>
              </w:numPr>
              <w:spacing w:after="0"/>
              <w:rPr>
                <w:sz w:val="20"/>
                <w:szCs w:val="20"/>
                <w:lang w:val="fr-FR"/>
              </w:rPr>
            </w:pPr>
            <w:r>
              <w:rPr>
                <w:sz w:val="20"/>
                <w:szCs w:val="20"/>
                <w:lang w:val="fr-FR"/>
              </w:rPr>
              <w:t>Pourcentage des ASC ayant des termes de référence, des processus d</w:t>
            </w:r>
            <w:r w:rsidR="002C54BD">
              <w:rPr>
                <w:sz w:val="20"/>
                <w:szCs w:val="20"/>
                <w:lang w:val="fr-FR"/>
              </w:rPr>
              <w:t>’</w:t>
            </w:r>
            <w:r>
              <w:rPr>
                <w:sz w:val="20"/>
                <w:szCs w:val="20"/>
                <w:lang w:val="fr-FR"/>
              </w:rPr>
              <w:t>adhésion et une structure de gouvernance en place</w:t>
            </w:r>
          </w:p>
          <w:p w14:paraId="78334841" w14:textId="2F6E7179" w:rsidR="00946626" w:rsidRPr="00BD3D80" w:rsidRDefault="00946626" w:rsidP="00946626">
            <w:pPr>
              <w:pStyle w:val="ListParagraph"/>
              <w:numPr>
                <w:ilvl w:val="0"/>
                <w:numId w:val="21"/>
              </w:numPr>
              <w:spacing w:after="0"/>
              <w:rPr>
                <w:sz w:val="20"/>
                <w:szCs w:val="20"/>
                <w:lang w:val="fr-FR"/>
              </w:rPr>
            </w:pPr>
            <w:r>
              <w:rPr>
                <w:sz w:val="20"/>
                <w:szCs w:val="20"/>
                <w:lang w:val="fr-FR"/>
              </w:rPr>
              <w:t xml:space="preserve">Pourcentage des alliances présentant une parité hommes-femmes au sein </w:t>
            </w:r>
            <w:r w:rsidRPr="00325D8D">
              <w:rPr>
                <w:sz w:val="20"/>
                <w:szCs w:val="20"/>
                <w:lang w:val="fr-FR"/>
              </w:rPr>
              <w:t xml:space="preserve">du </w:t>
            </w:r>
            <w:r w:rsidR="00644F77" w:rsidRPr="00325D8D">
              <w:rPr>
                <w:sz w:val="20"/>
                <w:szCs w:val="20"/>
                <w:lang w:val="fr-FR"/>
              </w:rPr>
              <w:t xml:space="preserve">comité </w:t>
            </w:r>
            <w:r w:rsidRPr="00325D8D">
              <w:rPr>
                <w:sz w:val="20"/>
                <w:szCs w:val="20"/>
                <w:lang w:val="fr-FR"/>
              </w:rPr>
              <w:t>de pilotage</w:t>
            </w:r>
          </w:p>
        </w:tc>
      </w:tr>
      <w:tr w:rsidR="00151E80" w:rsidRPr="00880085" w14:paraId="4039C851" w14:textId="77777777" w:rsidTr="00151E80">
        <w:tblPrEx>
          <w:shd w:val="clear" w:color="auto" w:fill="FFFFFF" w:themeFill="background1"/>
        </w:tblPrEx>
        <w:trPr>
          <w:trHeight w:val="600"/>
        </w:trPr>
        <w:tc>
          <w:tcPr>
            <w:tcW w:w="628" w:type="pct"/>
            <w:vMerge/>
            <w:shd w:val="clear" w:color="auto" w:fill="FFFFFF" w:themeFill="background1"/>
          </w:tcPr>
          <w:p w14:paraId="37AC1AF1" w14:textId="77777777" w:rsidR="00151E80" w:rsidRPr="00BD3D80" w:rsidRDefault="00151E80" w:rsidP="00E644E8">
            <w:pPr>
              <w:spacing w:after="0" w:line="240" w:lineRule="auto"/>
              <w:rPr>
                <w:rFonts w:eastAsia="Times New Roman" w:cs="Arial"/>
                <w:b/>
                <w:color w:val="000000"/>
                <w:sz w:val="20"/>
                <w:szCs w:val="20"/>
                <w:lang w:val="fr-FR"/>
              </w:rPr>
            </w:pPr>
          </w:p>
        </w:tc>
        <w:tc>
          <w:tcPr>
            <w:tcW w:w="1668" w:type="pct"/>
            <w:shd w:val="clear" w:color="auto" w:fill="FFFFFF" w:themeFill="background1"/>
            <w:vAlign w:val="center"/>
            <w:hideMark/>
          </w:tcPr>
          <w:p w14:paraId="471EF24A" w14:textId="5E936BD4" w:rsidR="00151E80" w:rsidRPr="00BD3D80" w:rsidRDefault="00151E80" w:rsidP="00E644E8">
            <w:pPr>
              <w:spacing w:after="0" w:line="240" w:lineRule="auto"/>
              <w:rPr>
                <w:rFonts w:eastAsia="Times New Roman" w:cs="Arial"/>
                <w:color w:val="000000"/>
                <w:sz w:val="20"/>
                <w:szCs w:val="20"/>
                <w:lang w:val="fr-FR"/>
              </w:rPr>
            </w:pPr>
            <w:r>
              <w:rPr>
                <w:rFonts w:eastAsia="Times New Roman" w:cs="Arial"/>
                <w:b/>
                <w:bCs/>
                <w:color w:val="000000"/>
                <w:sz w:val="20"/>
                <w:szCs w:val="20"/>
                <w:lang w:val="fr-FR"/>
              </w:rPr>
              <w:t xml:space="preserve">4.5.2. Les plans des ASC sont en place pour assurer leur viabilité financière et </w:t>
            </w:r>
            <w:r w:rsidR="00566403">
              <w:rPr>
                <w:rFonts w:eastAsia="Times New Roman" w:cs="Arial"/>
                <w:b/>
                <w:bCs/>
                <w:color w:val="000000"/>
                <w:sz w:val="20"/>
                <w:szCs w:val="20"/>
                <w:lang w:val="fr-FR"/>
              </w:rPr>
              <w:t xml:space="preserve">sont </w:t>
            </w:r>
            <w:r>
              <w:rPr>
                <w:rFonts w:eastAsia="Times New Roman" w:cs="Arial"/>
                <w:b/>
                <w:bCs/>
                <w:color w:val="000000"/>
                <w:sz w:val="20"/>
                <w:szCs w:val="20"/>
                <w:lang w:val="fr-FR"/>
              </w:rPr>
              <w:t>opérationnel</w:t>
            </w:r>
            <w:r w:rsidR="00DC67E8">
              <w:rPr>
                <w:rFonts w:eastAsia="Times New Roman" w:cs="Arial"/>
                <w:b/>
                <w:bCs/>
                <w:color w:val="000000"/>
                <w:sz w:val="20"/>
                <w:szCs w:val="20"/>
                <w:lang w:val="fr-FR"/>
              </w:rPr>
              <w:t>s</w:t>
            </w:r>
            <w:r>
              <w:rPr>
                <w:rFonts w:eastAsia="Times New Roman" w:cs="Arial"/>
                <w:color w:val="000000"/>
                <w:sz w:val="20"/>
                <w:szCs w:val="20"/>
                <w:lang w:val="fr-FR"/>
              </w:rPr>
              <w:t xml:space="preserve"> (*contribuent à l</w:t>
            </w:r>
            <w:r w:rsidR="002C54BD">
              <w:rPr>
                <w:rFonts w:eastAsia="Times New Roman" w:cs="Arial"/>
                <w:color w:val="000000"/>
                <w:sz w:val="20"/>
                <w:szCs w:val="20"/>
                <w:lang w:val="fr-FR"/>
              </w:rPr>
              <w:t>’</w:t>
            </w:r>
            <w:r>
              <w:rPr>
                <w:rFonts w:eastAsia="Times New Roman" w:cs="Arial"/>
                <w:color w:val="000000"/>
                <w:sz w:val="20"/>
                <w:szCs w:val="20"/>
                <w:lang w:val="fr-FR"/>
              </w:rPr>
              <w:t>indice de gouvernance)</w:t>
            </w:r>
          </w:p>
        </w:tc>
        <w:tc>
          <w:tcPr>
            <w:tcW w:w="2704" w:type="pct"/>
            <w:shd w:val="clear" w:color="auto" w:fill="FFFFFF" w:themeFill="background1"/>
            <w:vAlign w:val="center"/>
          </w:tcPr>
          <w:p w14:paraId="6174FB1E" w14:textId="072D6561" w:rsidR="00151E80" w:rsidRPr="00BD3D8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opportunités et de propositions de financement soumises par les ASC/OSC</w:t>
            </w:r>
          </w:p>
          <w:p w14:paraId="2D02F03D" w14:textId="75B206AA" w:rsidR="00151E80" w:rsidRPr="00BD3D8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sz w:val="20"/>
                <w:szCs w:val="20"/>
                <w:lang w:val="fr-FR"/>
              </w:rPr>
              <w:t>Nombre d</w:t>
            </w:r>
            <w:r w:rsidR="002C54BD">
              <w:rPr>
                <w:rFonts w:ascii="Calibri" w:eastAsia="Times New Roman" w:hAnsi="Calibri" w:cs="Arial"/>
                <w:sz w:val="20"/>
                <w:szCs w:val="20"/>
                <w:lang w:val="fr-FR"/>
              </w:rPr>
              <w:t>’</w:t>
            </w:r>
            <w:r>
              <w:rPr>
                <w:rFonts w:ascii="Calibri" w:eastAsia="Times New Roman" w:hAnsi="Calibri" w:cs="Arial"/>
                <w:sz w:val="20"/>
                <w:szCs w:val="20"/>
                <w:lang w:val="fr-FR"/>
              </w:rPr>
              <w:t>opportunités de financement pour les membres des OSC/ASC facilitées par le RSC ou l</w:t>
            </w:r>
            <w:r w:rsidR="002C54BD">
              <w:rPr>
                <w:rFonts w:ascii="Calibri" w:eastAsia="Times New Roman" w:hAnsi="Calibri" w:cs="Arial"/>
                <w:sz w:val="20"/>
                <w:szCs w:val="20"/>
                <w:lang w:val="fr-FR"/>
              </w:rPr>
              <w:t>’</w:t>
            </w:r>
            <w:r>
              <w:rPr>
                <w:rFonts w:ascii="Calibri" w:eastAsia="Times New Roman" w:hAnsi="Calibri" w:cs="Arial"/>
                <w:sz w:val="20"/>
                <w:szCs w:val="20"/>
                <w:lang w:val="fr-FR"/>
              </w:rPr>
              <w:t>ASC</w:t>
            </w:r>
          </w:p>
          <w:p w14:paraId="345007C1" w14:textId="07E95135" w:rsidR="00946626" w:rsidRPr="00DC67E8" w:rsidRDefault="00151E80"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 xml:space="preserve">Disponibilité </w:t>
            </w:r>
            <w:r w:rsidR="00DC67E8">
              <w:rPr>
                <w:rFonts w:ascii="Calibri" w:eastAsia="Times New Roman" w:hAnsi="Calibri" w:cs="Arial"/>
                <w:color w:val="538135" w:themeColor="accent6" w:themeShade="BF"/>
                <w:sz w:val="20"/>
                <w:szCs w:val="20"/>
                <w:lang w:val="fr-FR"/>
              </w:rPr>
              <w:t>de financement des</w:t>
            </w:r>
            <w:r>
              <w:rPr>
                <w:rFonts w:ascii="Calibri" w:eastAsia="Times New Roman" w:hAnsi="Calibri" w:cs="Arial"/>
                <w:color w:val="538135" w:themeColor="accent6" w:themeShade="BF"/>
                <w:sz w:val="20"/>
                <w:szCs w:val="20"/>
                <w:lang w:val="fr-FR"/>
              </w:rPr>
              <w:t xml:space="preserve"> ASC pour les 6 à 8 mois à venir</w:t>
            </w:r>
            <w:r w:rsidR="00DC67E8">
              <w:rPr>
                <w:rFonts w:ascii="Calibri" w:eastAsia="Times New Roman" w:hAnsi="Calibri" w:cs="Arial"/>
                <w:color w:val="538135" w:themeColor="accent6" w:themeShade="BF"/>
                <w:sz w:val="20"/>
                <w:szCs w:val="20"/>
                <w:lang w:val="fr-FR"/>
              </w:rPr>
              <w:t>. S</w:t>
            </w:r>
            <w:r>
              <w:rPr>
                <w:rFonts w:ascii="Calibri" w:eastAsia="Times New Roman" w:hAnsi="Calibri" w:cs="Arial"/>
                <w:color w:val="538135" w:themeColor="accent6" w:themeShade="BF"/>
                <w:sz w:val="20"/>
                <w:szCs w:val="20"/>
                <w:lang w:val="fr-FR"/>
              </w:rPr>
              <w:t>électionnez l</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un</w:t>
            </w:r>
            <w:r w:rsidR="00DC67E8">
              <w:rPr>
                <w:rFonts w:ascii="Calibri" w:eastAsia="Times New Roman" w:hAnsi="Calibri" w:cs="Arial"/>
                <w:color w:val="538135" w:themeColor="accent6" w:themeShade="BF"/>
                <w:sz w:val="20"/>
                <w:szCs w:val="20"/>
                <w:lang w:val="fr-FR"/>
              </w:rPr>
              <w:t>e</w:t>
            </w:r>
            <w:r>
              <w:rPr>
                <w:rFonts w:ascii="Calibri" w:eastAsia="Times New Roman" w:hAnsi="Calibri" w:cs="Arial"/>
                <w:color w:val="538135" w:themeColor="accent6" w:themeShade="BF"/>
                <w:sz w:val="20"/>
                <w:szCs w:val="20"/>
                <w:lang w:val="fr-FR"/>
              </w:rPr>
              <w:t xml:space="preserve"> des </w:t>
            </w:r>
            <w:r w:rsidR="00DC67E8">
              <w:rPr>
                <w:rFonts w:ascii="Calibri" w:eastAsia="Times New Roman" w:hAnsi="Calibri" w:cs="Arial"/>
                <w:color w:val="538135" w:themeColor="accent6" w:themeShade="BF"/>
                <w:sz w:val="20"/>
                <w:szCs w:val="20"/>
                <w:lang w:val="fr-FR"/>
              </w:rPr>
              <w:t>options</w:t>
            </w:r>
            <w:r>
              <w:rPr>
                <w:rFonts w:ascii="Calibri" w:eastAsia="Times New Roman" w:hAnsi="Calibri" w:cs="Arial"/>
                <w:color w:val="538135" w:themeColor="accent6" w:themeShade="BF"/>
                <w:sz w:val="20"/>
                <w:szCs w:val="20"/>
                <w:lang w:val="fr-FR"/>
              </w:rPr>
              <w:t xml:space="preserve"> suivant</w:t>
            </w:r>
            <w:r w:rsidR="00DC67E8">
              <w:rPr>
                <w:rFonts w:ascii="Calibri" w:eastAsia="Times New Roman" w:hAnsi="Calibri" w:cs="Arial"/>
                <w:color w:val="538135" w:themeColor="accent6" w:themeShade="BF"/>
                <w:sz w:val="20"/>
                <w:szCs w:val="20"/>
                <w:lang w:val="fr-FR"/>
              </w:rPr>
              <w:t>e</w:t>
            </w:r>
            <w:r>
              <w:rPr>
                <w:rFonts w:ascii="Calibri" w:eastAsia="Times New Roman" w:hAnsi="Calibri" w:cs="Arial"/>
                <w:color w:val="538135" w:themeColor="accent6" w:themeShade="BF"/>
                <w:sz w:val="20"/>
                <w:szCs w:val="20"/>
                <w:lang w:val="fr-FR"/>
              </w:rPr>
              <w:t>s</w:t>
            </w:r>
            <w:r w:rsidR="00DC67E8">
              <w:rPr>
                <w:rFonts w:ascii="Calibri" w:eastAsia="Times New Roman" w:hAnsi="Calibri" w:cs="Arial"/>
                <w:color w:val="538135" w:themeColor="accent6" w:themeShade="BF"/>
                <w:sz w:val="20"/>
                <w:szCs w:val="20"/>
                <w:lang w:val="fr-FR"/>
              </w:rPr>
              <w:t> :</w:t>
            </w:r>
            <w:r>
              <w:rPr>
                <w:rFonts w:ascii="Calibri" w:eastAsia="Times New Roman" w:hAnsi="Calibri" w:cs="Arial"/>
                <w:color w:val="538135" w:themeColor="accent6" w:themeShade="BF"/>
                <w:sz w:val="20"/>
                <w:szCs w:val="20"/>
                <w:lang w:val="fr-FR"/>
              </w:rPr>
              <w:t xml:space="preserve"> </w:t>
            </w:r>
            <w:r w:rsidR="00DC67E8">
              <w:rPr>
                <w:rFonts w:ascii="Calibri" w:eastAsia="Times New Roman" w:hAnsi="Calibri" w:cs="Arial"/>
                <w:color w:val="538135" w:themeColor="accent6" w:themeShade="BF"/>
                <w:sz w:val="20"/>
                <w:szCs w:val="20"/>
                <w:lang w:val="fr-FR"/>
              </w:rPr>
              <w:t>en danger</w:t>
            </w:r>
            <w:r>
              <w:rPr>
                <w:rFonts w:ascii="Calibri" w:eastAsia="Times New Roman" w:hAnsi="Calibri" w:cs="Arial"/>
                <w:color w:val="538135" w:themeColor="accent6" w:themeShade="BF"/>
                <w:sz w:val="20"/>
                <w:szCs w:val="20"/>
                <w:lang w:val="fr-FR"/>
              </w:rPr>
              <w:t xml:space="preserve">, couvrant le fonctionnement de base de la </w:t>
            </w:r>
            <w:r>
              <w:rPr>
                <w:rFonts w:ascii="Calibri" w:eastAsia="Times New Roman" w:hAnsi="Calibri" w:cs="Arial"/>
                <w:color w:val="538135" w:themeColor="accent6" w:themeShade="BF"/>
                <w:sz w:val="20"/>
                <w:szCs w:val="20"/>
                <w:lang w:val="fr-FR"/>
              </w:rPr>
              <w:lastRenderedPageBreak/>
              <w:t xml:space="preserve">gouvernance, couvrant la gouvernance et les opérations au niveau national, couvrant </w:t>
            </w:r>
            <w:r w:rsidR="00E31474">
              <w:rPr>
                <w:rFonts w:ascii="Calibri" w:eastAsia="Times New Roman" w:hAnsi="Calibri" w:cs="Arial"/>
                <w:color w:val="538135" w:themeColor="accent6" w:themeShade="BF"/>
                <w:sz w:val="20"/>
                <w:szCs w:val="20"/>
                <w:lang w:val="fr-FR"/>
              </w:rPr>
              <w:t>les opérations</w:t>
            </w:r>
            <w:r>
              <w:rPr>
                <w:rFonts w:ascii="Calibri" w:eastAsia="Times New Roman" w:hAnsi="Calibri" w:cs="Arial"/>
                <w:color w:val="538135" w:themeColor="accent6" w:themeShade="BF"/>
                <w:sz w:val="20"/>
                <w:szCs w:val="20"/>
                <w:lang w:val="fr-FR"/>
              </w:rPr>
              <w:t xml:space="preserve"> au niveau national et infranational, couvrant la gouvernance et le</w:t>
            </w:r>
            <w:r w:rsidR="00E31474">
              <w:rPr>
                <w:rFonts w:ascii="Calibri" w:eastAsia="Times New Roman" w:hAnsi="Calibri" w:cs="Arial"/>
                <w:color w:val="538135" w:themeColor="accent6" w:themeShade="BF"/>
                <w:sz w:val="20"/>
                <w:szCs w:val="20"/>
                <w:lang w:val="fr-FR"/>
              </w:rPr>
              <w:t>s</w:t>
            </w:r>
            <w:r>
              <w:rPr>
                <w:rFonts w:ascii="Calibri" w:eastAsia="Times New Roman" w:hAnsi="Calibri" w:cs="Arial"/>
                <w:color w:val="538135" w:themeColor="accent6" w:themeShade="BF"/>
                <w:sz w:val="20"/>
                <w:szCs w:val="20"/>
                <w:lang w:val="fr-FR"/>
              </w:rPr>
              <w:t xml:space="preserve"> </w:t>
            </w:r>
            <w:r w:rsidR="00E31474">
              <w:rPr>
                <w:rFonts w:ascii="Calibri" w:eastAsia="Times New Roman" w:hAnsi="Calibri" w:cs="Arial"/>
                <w:color w:val="538135" w:themeColor="accent6" w:themeShade="BF"/>
                <w:sz w:val="20"/>
                <w:szCs w:val="20"/>
                <w:lang w:val="fr-FR"/>
              </w:rPr>
              <w:t>opérations</w:t>
            </w:r>
            <w:r>
              <w:rPr>
                <w:rFonts w:ascii="Calibri" w:eastAsia="Times New Roman" w:hAnsi="Calibri" w:cs="Arial"/>
                <w:color w:val="538135" w:themeColor="accent6" w:themeShade="BF"/>
                <w:sz w:val="20"/>
                <w:szCs w:val="20"/>
                <w:lang w:val="fr-FR"/>
              </w:rPr>
              <w:t xml:space="preserve"> de l</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Alliance pour plusieurs années * </w:t>
            </w:r>
          </w:p>
          <w:p w14:paraId="2384480E" w14:textId="23F7D59D" w:rsidR="00946626" w:rsidRPr="00BD3D80"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des ASC ayant des plans de collecte de fonds en place</w:t>
            </w:r>
          </w:p>
          <w:p w14:paraId="0941E6A4" w14:textId="2BF74FC4" w:rsidR="00946626" w:rsidRPr="00BD3D80"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de propositions soumises par les ASC qui ont été retenues</w:t>
            </w:r>
          </w:p>
        </w:tc>
      </w:tr>
      <w:tr w:rsidR="00151E80" w:rsidRPr="00880085" w14:paraId="579E1267" w14:textId="77777777" w:rsidTr="00151E80">
        <w:tblPrEx>
          <w:shd w:val="clear" w:color="auto" w:fill="FFFFFF" w:themeFill="background1"/>
        </w:tblPrEx>
        <w:trPr>
          <w:trHeight w:val="70"/>
        </w:trPr>
        <w:tc>
          <w:tcPr>
            <w:tcW w:w="628" w:type="pct"/>
            <w:vMerge/>
            <w:shd w:val="clear" w:color="auto" w:fill="FFFFFF" w:themeFill="background1"/>
          </w:tcPr>
          <w:p w14:paraId="67D7218E" w14:textId="77777777" w:rsidR="00151E80" w:rsidRPr="00BD3D80" w:rsidRDefault="00151E80" w:rsidP="00E644E8">
            <w:pPr>
              <w:spacing w:after="0" w:line="240" w:lineRule="auto"/>
              <w:rPr>
                <w:rFonts w:eastAsia="Times New Roman" w:cs="Arial"/>
                <w:color w:val="000000"/>
                <w:sz w:val="20"/>
                <w:szCs w:val="20"/>
                <w:lang w:val="fr-FR"/>
              </w:rPr>
            </w:pPr>
          </w:p>
        </w:tc>
        <w:tc>
          <w:tcPr>
            <w:tcW w:w="1668" w:type="pct"/>
            <w:shd w:val="clear" w:color="auto" w:fill="FFFFFF" w:themeFill="background1"/>
            <w:vAlign w:val="center"/>
            <w:hideMark/>
          </w:tcPr>
          <w:p w14:paraId="03C6A1BF" w14:textId="79CC7B4B" w:rsidR="00151E80" w:rsidRPr="00C26CAB" w:rsidRDefault="00151E80" w:rsidP="00E644E8">
            <w:pPr>
              <w:spacing w:after="0" w:line="240" w:lineRule="auto"/>
              <w:rPr>
                <w:rFonts w:eastAsia="Times New Roman" w:cs="Arial"/>
                <w:color w:val="000000"/>
                <w:sz w:val="20"/>
                <w:szCs w:val="20"/>
                <w:lang w:val="fr-FR"/>
              </w:rPr>
            </w:pPr>
            <w:r>
              <w:rPr>
                <w:rFonts w:eastAsia="Times New Roman" w:cs="Arial"/>
                <w:color w:val="000000"/>
                <w:sz w:val="20"/>
                <w:szCs w:val="20"/>
                <w:lang w:val="fr-FR"/>
              </w:rPr>
              <w:t xml:space="preserve">4.5.3. Les alliances de la société civile ont </w:t>
            </w:r>
            <w:r w:rsidR="00377D1E">
              <w:rPr>
                <w:rFonts w:eastAsia="Times New Roman" w:cs="Arial"/>
                <w:color w:val="000000"/>
                <w:sz w:val="20"/>
                <w:szCs w:val="20"/>
                <w:lang w:val="fr-FR"/>
              </w:rPr>
              <w:t xml:space="preserve">mis en place </w:t>
            </w:r>
            <w:r>
              <w:rPr>
                <w:rFonts w:eastAsia="Times New Roman" w:cs="Arial"/>
                <w:color w:val="000000"/>
                <w:sz w:val="20"/>
                <w:szCs w:val="20"/>
                <w:lang w:val="fr-FR"/>
              </w:rPr>
              <w:t xml:space="preserve">des processus </w:t>
            </w:r>
            <w:r w:rsidR="00377D1E">
              <w:rPr>
                <w:rFonts w:eastAsia="Times New Roman" w:cs="Arial"/>
                <w:color w:val="000000"/>
                <w:sz w:val="20"/>
                <w:szCs w:val="20"/>
                <w:lang w:val="fr-FR"/>
              </w:rPr>
              <w:t xml:space="preserve">opérationnels </w:t>
            </w:r>
            <w:r>
              <w:rPr>
                <w:rFonts w:eastAsia="Times New Roman" w:cs="Arial"/>
                <w:color w:val="000000"/>
                <w:sz w:val="20"/>
                <w:szCs w:val="20"/>
                <w:lang w:val="fr-FR"/>
              </w:rPr>
              <w:t>de gestion de</w:t>
            </w:r>
            <w:r w:rsidR="00377D1E">
              <w:rPr>
                <w:rFonts w:eastAsia="Times New Roman" w:cs="Arial"/>
                <w:color w:val="000000"/>
                <w:sz w:val="20"/>
                <w:szCs w:val="20"/>
                <w:lang w:val="fr-FR"/>
              </w:rPr>
              <w:t>s</w:t>
            </w:r>
            <w:r>
              <w:rPr>
                <w:rFonts w:eastAsia="Times New Roman" w:cs="Arial"/>
                <w:color w:val="000000"/>
                <w:sz w:val="20"/>
                <w:szCs w:val="20"/>
                <w:lang w:val="fr-FR"/>
              </w:rPr>
              <w:t xml:space="preserve"> risques, notamment en ce qui concerne les conflits d</w:t>
            </w:r>
            <w:r w:rsidR="002C54BD">
              <w:rPr>
                <w:rFonts w:eastAsia="Times New Roman" w:cs="Arial"/>
                <w:color w:val="000000"/>
                <w:sz w:val="20"/>
                <w:szCs w:val="20"/>
                <w:lang w:val="fr-FR"/>
              </w:rPr>
              <w:t>’</w:t>
            </w:r>
            <w:r>
              <w:rPr>
                <w:rFonts w:eastAsia="Times New Roman" w:cs="Arial"/>
                <w:color w:val="000000"/>
                <w:sz w:val="20"/>
                <w:szCs w:val="20"/>
                <w:lang w:val="fr-FR"/>
              </w:rPr>
              <w:t>intérêt</w:t>
            </w:r>
            <w:r w:rsidR="00C26CAB">
              <w:rPr>
                <w:rFonts w:eastAsia="Times New Roman" w:cs="Arial"/>
                <w:color w:val="000000"/>
                <w:sz w:val="20"/>
                <w:szCs w:val="20"/>
                <w:lang w:val="fr-FR"/>
              </w:rPr>
              <w:t>s</w:t>
            </w:r>
            <w:r>
              <w:rPr>
                <w:rFonts w:eastAsia="Times New Roman" w:cs="Arial"/>
                <w:color w:val="000000"/>
                <w:sz w:val="20"/>
                <w:szCs w:val="20"/>
                <w:lang w:val="fr-FR"/>
              </w:rPr>
              <w:t xml:space="preserve"> et la capacité d</w:t>
            </w:r>
            <w:r w:rsidR="002C54BD">
              <w:rPr>
                <w:rFonts w:eastAsia="Times New Roman" w:cs="Arial"/>
                <w:color w:val="000000"/>
                <w:sz w:val="20"/>
                <w:szCs w:val="20"/>
                <w:lang w:val="fr-FR"/>
              </w:rPr>
              <w:t>’</w:t>
            </w:r>
            <w:r>
              <w:rPr>
                <w:rFonts w:eastAsia="Times New Roman" w:cs="Arial"/>
                <w:color w:val="000000"/>
                <w:sz w:val="20"/>
                <w:szCs w:val="20"/>
                <w:lang w:val="fr-FR"/>
              </w:rPr>
              <w:t>accéder à des conseils juridiques. (*contribuent à l</w:t>
            </w:r>
            <w:r w:rsidR="002C54BD">
              <w:rPr>
                <w:rFonts w:eastAsia="Times New Roman" w:cs="Arial"/>
                <w:color w:val="000000"/>
                <w:sz w:val="20"/>
                <w:szCs w:val="20"/>
                <w:lang w:val="fr-FR"/>
              </w:rPr>
              <w:t>’</w:t>
            </w:r>
            <w:r>
              <w:rPr>
                <w:rFonts w:eastAsia="Times New Roman" w:cs="Arial"/>
                <w:color w:val="000000"/>
                <w:sz w:val="20"/>
                <w:szCs w:val="20"/>
                <w:lang w:val="fr-FR"/>
              </w:rPr>
              <w:t>indice de gouvernance)</w:t>
            </w:r>
          </w:p>
        </w:tc>
        <w:tc>
          <w:tcPr>
            <w:tcW w:w="2704" w:type="pct"/>
            <w:shd w:val="clear" w:color="auto" w:fill="FFFFFF" w:themeFill="background1"/>
            <w:vAlign w:val="center"/>
            <w:hideMark/>
          </w:tcPr>
          <w:p w14:paraId="19D3CA6E" w14:textId="799CF82C" w:rsidR="00151E80" w:rsidRPr="00BD3D8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Les ASC/OSC peuvent accéder à des conseils et à un soutien juridiques</w:t>
            </w:r>
          </w:p>
          <w:p w14:paraId="39912D5D" w14:textId="66F18525" w:rsidR="00151E80" w:rsidRPr="00BD3D80" w:rsidRDefault="00151E80"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Les ASC/OSC élaborent, signent et appliquent des politiques et formulaires sur les conflits d</w:t>
            </w:r>
            <w:r w:rsidR="002C54BD">
              <w:rPr>
                <w:rFonts w:ascii="Calibri" w:eastAsia="Times New Roman" w:hAnsi="Calibri" w:cs="Arial"/>
                <w:sz w:val="20"/>
                <w:szCs w:val="20"/>
                <w:lang w:val="fr-FR"/>
              </w:rPr>
              <w:t>’</w:t>
            </w:r>
            <w:r>
              <w:rPr>
                <w:rFonts w:ascii="Calibri" w:eastAsia="Times New Roman" w:hAnsi="Calibri" w:cs="Arial"/>
                <w:sz w:val="20"/>
                <w:szCs w:val="20"/>
                <w:lang w:val="fr-FR"/>
              </w:rPr>
              <w:t>intérêts*</w:t>
            </w:r>
          </w:p>
          <w:p w14:paraId="45C77C15" w14:textId="0AECCA71" w:rsidR="00151E80" w:rsidRPr="00BD3D80" w:rsidRDefault="00151E80"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Les ASC ont une politique de résolution des conflits et l</w:t>
            </w:r>
            <w:r w:rsidR="002C54BD">
              <w:rPr>
                <w:rFonts w:ascii="Calibri" w:eastAsia="Times New Roman" w:hAnsi="Calibri" w:cs="Arial"/>
                <w:sz w:val="20"/>
                <w:szCs w:val="20"/>
                <w:lang w:val="fr-FR"/>
              </w:rPr>
              <w:t>’</w:t>
            </w:r>
            <w:r>
              <w:rPr>
                <w:rFonts w:ascii="Calibri" w:eastAsia="Times New Roman" w:hAnsi="Calibri" w:cs="Arial"/>
                <w:sz w:val="20"/>
                <w:szCs w:val="20"/>
                <w:lang w:val="fr-FR"/>
              </w:rPr>
              <w:t>appliquent*</w:t>
            </w:r>
          </w:p>
          <w:p w14:paraId="7637D973" w14:textId="18E3AFAE" w:rsidR="00151E80" w:rsidRPr="00BD3D8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sz w:val="20"/>
                <w:szCs w:val="20"/>
                <w:lang w:val="fr-FR"/>
              </w:rPr>
              <w:t>Nombre d</w:t>
            </w:r>
            <w:r w:rsidR="002C54BD">
              <w:rPr>
                <w:rFonts w:ascii="Calibri" w:eastAsia="Times New Roman" w:hAnsi="Calibri" w:cs="Arial"/>
                <w:sz w:val="20"/>
                <w:szCs w:val="20"/>
                <w:lang w:val="fr-FR"/>
              </w:rPr>
              <w:t>’</w:t>
            </w:r>
            <w:r>
              <w:rPr>
                <w:rFonts w:ascii="Calibri" w:eastAsia="Times New Roman" w:hAnsi="Calibri" w:cs="Arial"/>
                <w:sz w:val="20"/>
                <w:szCs w:val="20"/>
                <w:lang w:val="fr-FR"/>
              </w:rPr>
              <w:t>actions entreprises en matière de conflits d</w:t>
            </w:r>
            <w:r w:rsidR="002C54BD">
              <w:rPr>
                <w:rFonts w:ascii="Calibri" w:eastAsia="Times New Roman" w:hAnsi="Calibri" w:cs="Arial"/>
                <w:sz w:val="20"/>
                <w:szCs w:val="20"/>
                <w:lang w:val="fr-FR"/>
              </w:rPr>
              <w:t>’</w:t>
            </w:r>
            <w:r>
              <w:rPr>
                <w:rFonts w:ascii="Calibri" w:eastAsia="Times New Roman" w:hAnsi="Calibri" w:cs="Arial"/>
                <w:sz w:val="20"/>
                <w:szCs w:val="20"/>
                <w:lang w:val="fr-FR"/>
              </w:rPr>
              <w:t>intérêts et de résolution de conflits*</w:t>
            </w:r>
          </w:p>
        </w:tc>
      </w:tr>
      <w:tr w:rsidR="00151E80" w:rsidRPr="00880085" w14:paraId="679F7022" w14:textId="77777777" w:rsidTr="00151E80">
        <w:tblPrEx>
          <w:shd w:val="clear" w:color="auto" w:fill="FFFFFF" w:themeFill="background1"/>
        </w:tblPrEx>
        <w:trPr>
          <w:trHeight w:val="70"/>
        </w:trPr>
        <w:tc>
          <w:tcPr>
            <w:tcW w:w="628" w:type="pct"/>
            <w:vMerge/>
            <w:shd w:val="clear" w:color="auto" w:fill="FFFFFF" w:themeFill="background1"/>
          </w:tcPr>
          <w:p w14:paraId="057AA190" w14:textId="77777777" w:rsidR="00151E80" w:rsidRPr="00BD3D80" w:rsidRDefault="00151E80" w:rsidP="00E644E8">
            <w:pPr>
              <w:spacing w:after="0" w:line="240" w:lineRule="auto"/>
              <w:rPr>
                <w:rFonts w:eastAsia="Times New Roman" w:cs="Arial"/>
                <w:color w:val="000000"/>
                <w:sz w:val="20"/>
                <w:szCs w:val="20"/>
                <w:lang w:val="fr-FR"/>
              </w:rPr>
            </w:pPr>
          </w:p>
        </w:tc>
        <w:tc>
          <w:tcPr>
            <w:tcW w:w="1668" w:type="pct"/>
            <w:vMerge w:val="restart"/>
            <w:shd w:val="clear" w:color="auto" w:fill="FFFFFF" w:themeFill="background1"/>
            <w:vAlign w:val="center"/>
            <w:hideMark/>
          </w:tcPr>
          <w:p w14:paraId="2C3BD5D5" w14:textId="6FA68EF1" w:rsidR="00151E80" w:rsidRPr="00BD3D80" w:rsidRDefault="00151E80" w:rsidP="00E644E8">
            <w:pPr>
              <w:spacing w:after="0" w:line="240" w:lineRule="auto"/>
              <w:rPr>
                <w:rFonts w:eastAsia="Times New Roman" w:cs="Arial"/>
                <w:color w:val="000000"/>
                <w:sz w:val="20"/>
                <w:szCs w:val="20"/>
                <w:lang w:val="fr-FR"/>
              </w:rPr>
            </w:pPr>
            <w:r>
              <w:rPr>
                <w:rFonts w:eastAsia="Times New Roman" w:cs="Arial"/>
                <w:color w:val="000000"/>
                <w:sz w:val="20"/>
                <w:szCs w:val="20"/>
                <w:lang w:val="fr-FR"/>
              </w:rPr>
              <w:t>4.5.4. Les alliances de la société civile ont mis en place des cadres MEAL efficaces et opérationnels (**contribuent à l</w:t>
            </w:r>
            <w:r w:rsidR="002C54BD">
              <w:rPr>
                <w:rFonts w:eastAsia="Times New Roman" w:cs="Arial"/>
                <w:color w:val="000000"/>
                <w:sz w:val="20"/>
                <w:szCs w:val="20"/>
                <w:lang w:val="fr-FR"/>
              </w:rPr>
              <w:t>’</w:t>
            </w:r>
            <w:r>
              <w:rPr>
                <w:rFonts w:eastAsia="Times New Roman" w:cs="Arial"/>
                <w:color w:val="000000"/>
                <w:sz w:val="20"/>
                <w:szCs w:val="20"/>
                <w:lang w:val="fr-FR"/>
              </w:rPr>
              <w:t xml:space="preserve">indice de fonctionnalité) </w:t>
            </w:r>
          </w:p>
          <w:p w14:paraId="0E871058" w14:textId="77777777" w:rsidR="00151E80" w:rsidRPr="00BD3D80" w:rsidRDefault="00151E80" w:rsidP="00E644E8">
            <w:pPr>
              <w:spacing w:after="0" w:line="240" w:lineRule="auto"/>
              <w:jc w:val="center"/>
              <w:rPr>
                <w:rFonts w:eastAsia="Times New Roman" w:cs="Arial"/>
                <w:b/>
                <w:bCs/>
                <w:color w:val="000000"/>
                <w:sz w:val="20"/>
                <w:szCs w:val="20"/>
                <w:lang w:val="fr-FR"/>
              </w:rPr>
            </w:pPr>
            <w:r>
              <w:rPr>
                <w:rFonts w:eastAsia="Times New Roman" w:cs="Arial"/>
                <w:b/>
                <w:bCs/>
                <w:color w:val="000000"/>
                <w:sz w:val="20"/>
                <w:szCs w:val="20"/>
                <w:lang w:val="fr-FR"/>
              </w:rPr>
              <w:t> </w:t>
            </w:r>
          </w:p>
          <w:p w14:paraId="6E8AA9C7" w14:textId="77777777" w:rsidR="00151E80" w:rsidRPr="00BD3D80" w:rsidRDefault="00151E80" w:rsidP="00E644E8">
            <w:pPr>
              <w:spacing w:after="0" w:line="240" w:lineRule="auto"/>
              <w:jc w:val="center"/>
              <w:rPr>
                <w:rFonts w:eastAsia="Times New Roman" w:cs="Arial"/>
                <w:b/>
                <w:bCs/>
                <w:color w:val="000000"/>
                <w:sz w:val="20"/>
                <w:szCs w:val="20"/>
                <w:lang w:val="fr-FR"/>
              </w:rPr>
            </w:pPr>
            <w:r>
              <w:rPr>
                <w:rFonts w:eastAsia="Times New Roman" w:cs="Arial"/>
                <w:b/>
                <w:bCs/>
                <w:color w:val="000000"/>
                <w:sz w:val="20"/>
                <w:szCs w:val="20"/>
                <w:lang w:val="fr-FR"/>
              </w:rPr>
              <w:t> </w:t>
            </w:r>
          </w:p>
          <w:p w14:paraId="58A01EC5" w14:textId="77777777" w:rsidR="00151E80" w:rsidRPr="00BD3D80" w:rsidRDefault="00151E80" w:rsidP="00E644E8">
            <w:pPr>
              <w:spacing w:after="0" w:line="240" w:lineRule="auto"/>
              <w:jc w:val="center"/>
              <w:rPr>
                <w:rFonts w:eastAsia="Times New Roman" w:cs="Arial"/>
                <w:b/>
                <w:bCs/>
                <w:color w:val="000000"/>
                <w:sz w:val="20"/>
                <w:szCs w:val="20"/>
                <w:lang w:val="fr-FR"/>
              </w:rPr>
            </w:pPr>
            <w:r>
              <w:rPr>
                <w:rFonts w:eastAsia="Times New Roman" w:cs="Arial"/>
                <w:b/>
                <w:bCs/>
                <w:color w:val="000000"/>
                <w:sz w:val="20"/>
                <w:szCs w:val="20"/>
                <w:lang w:val="fr-FR"/>
              </w:rPr>
              <w:t> </w:t>
            </w:r>
          </w:p>
          <w:p w14:paraId="6634DC8C" w14:textId="11C93F90" w:rsidR="00151E80" w:rsidRPr="00BD3D80" w:rsidRDefault="00151E80" w:rsidP="00E644E8">
            <w:pPr>
              <w:spacing w:after="0" w:line="240" w:lineRule="auto"/>
              <w:jc w:val="center"/>
              <w:rPr>
                <w:rFonts w:eastAsia="Times New Roman" w:cs="Arial"/>
                <w:color w:val="000000"/>
                <w:sz w:val="20"/>
                <w:szCs w:val="20"/>
                <w:lang w:val="fr-FR"/>
              </w:rPr>
            </w:pPr>
            <w:r>
              <w:rPr>
                <w:rFonts w:eastAsia="Times New Roman" w:cs="Arial"/>
                <w:b/>
                <w:bCs/>
                <w:color w:val="000000"/>
                <w:sz w:val="20"/>
                <w:szCs w:val="20"/>
                <w:lang w:val="fr-FR"/>
              </w:rPr>
              <w:t> </w:t>
            </w:r>
          </w:p>
        </w:tc>
        <w:tc>
          <w:tcPr>
            <w:tcW w:w="2704" w:type="pct"/>
            <w:shd w:val="clear" w:color="auto" w:fill="FFFFFF" w:themeFill="background1"/>
            <w:vAlign w:val="center"/>
            <w:hideMark/>
          </w:tcPr>
          <w:p w14:paraId="14FDCC9D" w14:textId="4F0570A8" w:rsidR="00151E80" w:rsidRPr="00BD3D8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p>
        </w:tc>
      </w:tr>
      <w:tr w:rsidR="00151E80" w:rsidRPr="00880085" w14:paraId="31CC6982" w14:textId="77777777" w:rsidTr="00151E80">
        <w:tblPrEx>
          <w:shd w:val="clear" w:color="auto" w:fill="FFFFFF" w:themeFill="background1"/>
        </w:tblPrEx>
        <w:trPr>
          <w:trHeight w:val="315"/>
        </w:trPr>
        <w:tc>
          <w:tcPr>
            <w:tcW w:w="628" w:type="pct"/>
            <w:vMerge/>
            <w:shd w:val="clear" w:color="auto" w:fill="FFFFFF" w:themeFill="background1"/>
          </w:tcPr>
          <w:p w14:paraId="0076E045" w14:textId="77777777" w:rsidR="00151E80" w:rsidRPr="00BD3D80" w:rsidRDefault="00151E80" w:rsidP="00E644E8">
            <w:pPr>
              <w:spacing w:after="0" w:line="240" w:lineRule="auto"/>
              <w:jc w:val="center"/>
              <w:rPr>
                <w:rFonts w:eastAsia="Times New Roman" w:cs="Arial"/>
                <w:b/>
                <w:bCs/>
                <w:color w:val="000000"/>
                <w:sz w:val="20"/>
                <w:szCs w:val="20"/>
                <w:lang w:val="fr-FR"/>
              </w:rPr>
            </w:pPr>
          </w:p>
        </w:tc>
        <w:tc>
          <w:tcPr>
            <w:tcW w:w="1668" w:type="pct"/>
            <w:vMerge/>
            <w:shd w:val="clear" w:color="auto" w:fill="FFFFFF" w:themeFill="background1"/>
            <w:vAlign w:val="center"/>
            <w:hideMark/>
          </w:tcPr>
          <w:p w14:paraId="6A9DC508" w14:textId="4C94B880" w:rsidR="00151E80" w:rsidRPr="00BD3D80" w:rsidRDefault="00151E80" w:rsidP="00E644E8">
            <w:pPr>
              <w:spacing w:after="0" w:line="240" w:lineRule="auto"/>
              <w:jc w:val="center"/>
              <w:rPr>
                <w:rFonts w:eastAsia="Times New Roman" w:cs="Arial"/>
                <w:b/>
                <w:bCs/>
                <w:color w:val="000000"/>
                <w:sz w:val="20"/>
                <w:szCs w:val="20"/>
                <w:lang w:val="fr-FR"/>
              </w:rPr>
            </w:pPr>
          </w:p>
        </w:tc>
        <w:tc>
          <w:tcPr>
            <w:tcW w:w="2704" w:type="pct"/>
            <w:shd w:val="clear" w:color="auto" w:fill="FFFFFF" w:themeFill="background1"/>
            <w:vAlign w:val="center"/>
            <w:hideMark/>
          </w:tcPr>
          <w:p w14:paraId="419CA756" w14:textId="1EBFCEB3" w:rsidR="00151E80" w:rsidRPr="00BD3D8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p>
        </w:tc>
      </w:tr>
      <w:tr w:rsidR="00151E80" w:rsidRPr="00880085" w14:paraId="04749FDE" w14:textId="77777777" w:rsidTr="00151E80">
        <w:tblPrEx>
          <w:shd w:val="clear" w:color="auto" w:fill="FFFFFF" w:themeFill="background1"/>
        </w:tblPrEx>
        <w:trPr>
          <w:trHeight w:val="70"/>
        </w:trPr>
        <w:tc>
          <w:tcPr>
            <w:tcW w:w="628" w:type="pct"/>
            <w:vMerge/>
            <w:shd w:val="clear" w:color="auto" w:fill="FFFFFF" w:themeFill="background1"/>
          </w:tcPr>
          <w:p w14:paraId="1C6D824C" w14:textId="77777777" w:rsidR="00151E80" w:rsidRPr="00BD3D80" w:rsidRDefault="00151E80" w:rsidP="00E644E8">
            <w:pPr>
              <w:spacing w:after="0" w:line="240" w:lineRule="auto"/>
              <w:jc w:val="center"/>
              <w:rPr>
                <w:rFonts w:eastAsia="Times New Roman" w:cs="Arial"/>
                <w:b/>
                <w:bCs/>
                <w:color w:val="000000"/>
                <w:sz w:val="20"/>
                <w:szCs w:val="20"/>
                <w:lang w:val="fr-FR"/>
              </w:rPr>
            </w:pPr>
          </w:p>
        </w:tc>
        <w:tc>
          <w:tcPr>
            <w:tcW w:w="1668" w:type="pct"/>
            <w:vMerge/>
            <w:shd w:val="clear" w:color="auto" w:fill="FFFFFF" w:themeFill="background1"/>
            <w:vAlign w:val="center"/>
            <w:hideMark/>
          </w:tcPr>
          <w:p w14:paraId="09F85CD9" w14:textId="6B865B68" w:rsidR="00151E80" w:rsidRPr="00BD3D80" w:rsidRDefault="00151E80" w:rsidP="00E644E8">
            <w:pPr>
              <w:spacing w:after="0" w:line="240" w:lineRule="auto"/>
              <w:jc w:val="center"/>
              <w:rPr>
                <w:rFonts w:eastAsia="Times New Roman" w:cs="Arial"/>
                <w:b/>
                <w:bCs/>
                <w:color w:val="000000"/>
                <w:sz w:val="20"/>
                <w:szCs w:val="20"/>
                <w:lang w:val="fr-FR"/>
              </w:rPr>
            </w:pPr>
          </w:p>
        </w:tc>
        <w:tc>
          <w:tcPr>
            <w:tcW w:w="2704" w:type="pct"/>
            <w:shd w:val="clear" w:color="auto" w:fill="FFFFFF" w:themeFill="background1"/>
            <w:vAlign w:val="center"/>
            <w:hideMark/>
          </w:tcPr>
          <w:p w14:paraId="0C5B246C" w14:textId="5513B117" w:rsidR="00946626" w:rsidRPr="00BD3D80" w:rsidRDefault="00946626"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de cadre</w:t>
            </w:r>
            <w:r w:rsidR="00377D1E">
              <w:rPr>
                <w:rFonts w:ascii="Calibri" w:eastAsia="Times New Roman" w:hAnsi="Calibri" w:cs="Arial"/>
                <w:color w:val="538135" w:themeColor="accent6" w:themeShade="BF"/>
                <w:sz w:val="20"/>
                <w:szCs w:val="20"/>
                <w:lang w:val="fr-FR"/>
              </w:rPr>
              <w:t>s</w:t>
            </w:r>
            <w:r>
              <w:rPr>
                <w:rFonts w:ascii="Calibri" w:eastAsia="Times New Roman" w:hAnsi="Calibri" w:cs="Arial"/>
                <w:color w:val="538135" w:themeColor="accent6" w:themeShade="BF"/>
                <w:sz w:val="20"/>
                <w:szCs w:val="20"/>
                <w:lang w:val="fr-FR"/>
              </w:rPr>
              <w:t xml:space="preserve"> de renforcement des capacités et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assistance technique MEAL fournis aux ASC/OSC</w:t>
            </w:r>
          </w:p>
          <w:p w14:paraId="23777202" w14:textId="30035EDD" w:rsidR="00946626" w:rsidRPr="00BD3D80" w:rsidRDefault="00946626"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Les ASC ont mis en place une stratégie MEAL opérationnelle*</w:t>
            </w:r>
          </w:p>
          <w:p w14:paraId="630C3427" w14:textId="46C8E148" w:rsidR="00151E80" w:rsidRPr="00BD3D8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Système de gestion des données MEAL en place et opérationnel*</w:t>
            </w:r>
          </w:p>
          <w:p w14:paraId="64C8D346" w14:textId="5AAA7329" w:rsidR="00151E80" w:rsidRPr="00BD3D80" w:rsidRDefault="00151E80"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Les ASC ont une théorie du changement à long terme ou un cadre logique avec des indicateurs de performance*</w:t>
            </w:r>
          </w:p>
          <w:p w14:paraId="5810E0C8" w14:textId="15E9A134" w:rsidR="00151E80" w:rsidRPr="00BD3D80" w:rsidRDefault="00151E80"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 xml:space="preserve">Les ASC ont des </w:t>
            </w:r>
            <w:r w:rsidR="00377D1E">
              <w:rPr>
                <w:rFonts w:ascii="Calibri" w:eastAsia="Times New Roman" w:hAnsi="Calibri" w:cs="Arial"/>
                <w:sz w:val="20"/>
                <w:szCs w:val="20"/>
                <w:lang w:val="fr-FR"/>
              </w:rPr>
              <w:t>cibles annuelles</w:t>
            </w:r>
            <w:r>
              <w:rPr>
                <w:rFonts w:ascii="Calibri" w:eastAsia="Times New Roman" w:hAnsi="Calibri" w:cs="Arial"/>
                <w:sz w:val="20"/>
                <w:szCs w:val="20"/>
                <w:lang w:val="fr-FR"/>
              </w:rPr>
              <w:t xml:space="preserve"> et à long terme*</w:t>
            </w:r>
          </w:p>
          <w:p w14:paraId="0B7F6DC4" w14:textId="3FE3CAEA" w:rsidR="00151E80" w:rsidRPr="00BD3D8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sz w:val="20"/>
                <w:szCs w:val="20"/>
                <w:lang w:val="fr-FR"/>
              </w:rPr>
              <w:t>Les ASC ont sélectionné un ensemble d</w:t>
            </w:r>
            <w:r w:rsidR="002C54BD">
              <w:rPr>
                <w:rFonts w:ascii="Calibri" w:eastAsia="Times New Roman" w:hAnsi="Calibri" w:cs="Arial"/>
                <w:sz w:val="20"/>
                <w:szCs w:val="20"/>
                <w:lang w:val="fr-FR"/>
              </w:rPr>
              <w:t>’</w:t>
            </w:r>
            <w:r>
              <w:rPr>
                <w:rFonts w:ascii="Calibri" w:eastAsia="Times New Roman" w:hAnsi="Calibri" w:cs="Arial"/>
                <w:sz w:val="20"/>
                <w:szCs w:val="20"/>
                <w:lang w:val="fr-FR"/>
              </w:rPr>
              <w:t>indicateurs standard et font des rapports au niveau mondial*</w:t>
            </w:r>
          </w:p>
          <w:p w14:paraId="180EA24A" w14:textId="414679C3" w:rsidR="00151E80" w:rsidRPr="00BD3D8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hAnsi="Calibri"/>
                <w:color w:val="538135" w:themeColor="accent6" w:themeShade="BF"/>
                <w:sz w:val="20"/>
                <w:szCs w:val="20"/>
                <w:lang w:val="fr-FR"/>
              </w:rPr>
              <w:t xml:space="preserve">Mécanisme interne de </w:t>
            </w:r>
            <w:r w:rsidR="000D7114">
              <w:rPr>
                <w:rFonts w:ascii="Calibri" w:hAnsi="Calibri"/>
                <w:color w:val="538135" w:themeColor="accent6" w:themeShade="BF"/>
                <w:sz w:val="20"/>
                <w:szCs w:val="20"/>
                <w:lang w:val="fr-FR"/>
              </w:rPr>
              <w:t>publication de rapports</w:t>
            </w:r>
            <w:r>
              <w:rPr>
                <w:rFonts w:ascii="Calibri" w:hAnsi="Calibri"/>
                <w:color w:val="538135" w:themeColor="accent6" w:themeShade="BF"/>
                <w:sz w:val="20"/>
                <w:szCs w:val="20"/>
                <w:lang w:val="fr-FR"/>
              </w:rPr>
              <w:t xml:space="preserve"> des ASC en place et opérationnel (progrès annuels communiqués à tous les membres) </w:t>
            </w:r>
            <w:r>
              <w:rPr>
                <w:color w:val="ED7D31" w:themeColor="accent2"/>
                <w:sz w:val="20"/>
                <w:szCs w:val="20"/>
                <w:lang w:val="fr-FR"/>
              </w:rPr>
              <w:t>(</w:t>
            </w:r>
            <w:r w:rsidR="00BB74DB">
              <w:rPr>
                <w:color w:val="ED7D31" w:themeColor="accent2"/>
                <w:sz w:val="20"/>
                <w:szCs w:val="20"/>
                <w:lang w:val="fr-FR"/>
              </w:rPr>
              <w:t>fonds communs</w:t>
            </w:r>
            <w:r>
              <w:rPr>
                <w:rFonts w:ascii="Calibri" w:hAnsi="Calibri"/>
                <w:color w:val="538135" w:themeColor="accent6" w:themeShade="BF"/>
                <w:sz w:val="20"/>
                <w:szCs w:val="20"/>
                <w:lang w:val="fr-FR"/>
              </w:rPr>
              <w:t xml:space="preserve">) </w:t>
            </w:r>
          </w:p>
        </w:tc>
      </w:tr>
      <w:tr w:rsidR="00151E80" w:rsidRPr="00880085" w14:paraId="4EFE993E" w14:textId="77777777" w:rsidTr="00151E80">
        <w:tblPrEx>
          <w:shd w:val="clear" w:color="auto" w:fill="FFFFFF" w:themeFill="background1"/>
        </w:tblPrEx>
        <w:trPr>
          <w:trHeight w:val="70"/>
        </w:trPr>
        <w:tc>
          <w:tcPr>
            <w:tcW w:w="628" w:type="pct"/>
            <w:vMerge/>
            <w:shd w:val="clear" w:color="auto" w:fill="FFFFFF" w:themeFill="background1"/>
          </w:tcPr>
          <w:p w14:paraId="2F1E4B71" w14:textId="77777777" w:rsidR="00151E80" w:rsidRPr="00BD3D80" w:rsidRDefault="00151E80" w:rsidP="00E644E8">
            <w:pPr>
              <w:spacing w:after="0" w:line="240" w:lineRule="auto"/>
              <w:jc w:val="center"/>
              <w:rPr>
                <w:rFonts w:eastAsia="Times New Roman" w:cs="Arial"/>
                <w:b/>
                <w:bCs/>
                <w:color w:val="000000"/>
                <w:sz w:val="20"/>
                <w:szCs w:val="20"/>
                <w:lang w:val="fr-FR"/>
              </w:rPr>
            </w:pPr>
          </w:p>
        </w:tc>
        <w:tc>
          <w:tcPr>
            <w:tcW w:w="1668" w:type="pct"/>
            <w:vMerge/>
            <w:shd w:val="clear" w:color="auto" w:fill="FFFFFF" w:themeFill="background1"/>
            <w:vAlign w:val="center"/>
          </w:tcPr>
          <w:p w14:paraId="13FCADA4" w14:textId="302C50A3" w:rsidR="00151E80" w:rsidRPr="00BD3D80" w:rsidRDefault="00151E80" w:rsidP="00E644E8">
            <w:pPr>
              <w:spacing w:after="0" w:line="240" w:lineRule="auto"/>
              <w:jc w:val="center"/>
              <w:rPr>
                <w:rFonts w:eastAsia="Times New Roman" w:cs="Arial"/>
                <w:b/>
                <w:bCs/>
                <w:color w:val="000000"/>
                <w:sz w:val="20"/>
                <w:szCs w:val="20"/>
                <w:lang w:val="fr-FR"/>
              </w:rPr>
            </w:pPr>
          </w:p>
        </w:tc>
        <w:tc>
          <w:tcPr>
            <w:tcW w:w="2704" w:type="pct"/>
            <w:shd w:val="clear" w:color="auto" w:fill="FFFFFF" w:themeFill="background1"/>
            <w:vAlign w:val="center"/>
          </w:tcPr>
          <w:p w14:paraId="5F9E17A9" w14:textId="24866FEB" w:rsidR="00151E80" w:rsidRPr="00BD3D8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évaluations participatives réalisées </w:t>
            </w:r>
            <w:r>
              <w:rPr>
                <w:rFonts w:ascii="Calibri" w:eastAsia="Times New Roman" w:hAnsi="Calibri" w:cs="Arial"/>
                <w:sz w:val="20"/>
                <w:szCs w:val="20"/>
                <w:lang w:val="fr-FR"/>
              </w:rPr>
              <w:t>(face à face, virtuel</w:t>
            </w:r>
            <w:r w:rsidR="00020732">
              <w:rPr>
                <w:rFonts w:ascii="Calibri" w:eastAsia="Times New Roman" w:hAnsi="Calibri" w:cs="Arial"/>
                <w:sz w:val="20"/>
                <w:szCs w:val="20"/>
                <w:lang w:val="fr-FR"/>
              </w:rPr>
              <w:t>les</w:t>
            </w:r>
            <w:r>
              <w:rPr>
                <w:rFonts w:ascii="Calibri" w:eastAsia="Times New Roman" w:hAnsi="Calibri" w:cs="Arial"/>
                <w:sz w:val="20"/>
                <w:szCs w:val="20"/>
                <w:lang w:val="fr-FR"/>
              </w:rPr>
              <w:t>)</w:t>
            </w:r>
          </w:p>
        </w:tc>
      </w:tr>
      <w:tr w:rsidR="00151E80" w:rsidRPr="00880085" w14:paraId="0ECD853C" w14:textId="77777777" w:rsidTr="00151E80">
        <w:tblPrEx>
          <w:shd w:val="clear" w:color="auto" w:fill="FFFFFF" w:themeFill="background1"/>
        </w:tblPrEx>
        <w:trPr>
          <w:trHeight w:val="70"/>
        </w:trPr>
        <w:tc>
          <w:tcPr>
            <w:tcW w:w="628" w:type="pct"/>
            <w:vMerge/>
            <w:shd w:val="clear" w:color="auto" w:fill="FFFFFF" w:themeFill="background1"/>
          </w:tcPr>
          <w:p w14:paraId="2FBC1FD1" w14:textId="77777777" w:rsidR="00151E80" w:rsidRPr="00BD3D80" w:rsidRDefault="00151E80" w:rsidP="00E644E8">
            <w:pPr>
              <w:spacing w:after="0" w:line="240" w:lineRule="auto"/>
              <w:jc w:val="center"/>
              <w:rPr>
                <w:rFonts w:eastAsia="Times New Roman" w:cs="Arial"/>
                <w:b/>
                <w:bCs/>
                <w:color w:val="000000"/>
                <w:sz w:val="20"/>
                <w:szCs w:val="20"/>
                <w:lang w:val="fr-FR"/>
              </w:rPr>
            </w:pPr>
          </w:p>
        </w:tc>
        <w:tc>
          <w:tcPr>
            <w:tcW w:w="1668" w:type="pct"/>
            <w:vMerge/>
            <w:shd w:val="clear" w:color="auto" w:fill="FFFFFF" w:themeFill="background1"/>
            <w:vAlign w:val="center"/>
            <w:hideMark/>
          </w:tcPr>
          <w:p w14:paraId="0925B6DB" w14:textId="3840F9CE" w:rsidR="00151E80" w:rsidRPr="00BD3D80" w:rsidRDefault="00151E80" w:rsidP="00E644E8">
            <w:pPr>
              <w:spacing w:after="0" w:line="240" w:lineRule="auto"/>
              <w:jc w:val="center"/>
              <w:rPr>
                <w:rFonts w:eastAsia="Times New Roman" w:cs="Arial"/>
                <w:b/>
                <w:bCs/>
                <w:color w:val="000000"/>
                <w:sz w:val="20"/>
                <w:szCs w:val="20"/>
                <w:lang w:val="fr-FR"/>
              </w:rPr>
            </w:pPr>
          </w:p>
        </w:tc>
        <w:tc>
          <w:tcPr>
            <w:tcW w:w="2704" w:type="pct"/>
            <w:shd w:val="clear" w:color="auto" w:fill="FFFFFF" w:themeFill="background1"/>
            <w:vAlign w:val="center"/>
            <w:hideMark/>
          </w:tcPr>
          <w:p w14:paraId="3952BB97" w14:textId="5BA587E4" w:rsidR="00151E80" w:rsidRPr="00BD3D80" w:rsidRDefault="00151E80"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Recueil des meilleures pratiques des ASC/OSC diffusé au sein de l</w:t>
            </w:r>
            <w:r w:rsidR="002C54BD">
              <w:rPr>
                <w:rFonts w:ascii="Calibri" w:eastAsia="Times New Roman" w:hAnsi="Calibri" w:cs="Arial"/>
                <w:sz w:val="20"/>
                <w:szCs w:val="20"/>
                <w:lang w:val="fr-FR"/>
              </w:rPr>
              <w:t>’</w:t>
            </w:r>
            <w:r>
              <w:rPr>
                <w:rFonts w:ascii="Calibri" w:eastAsia="Times New Roman" w:hAnsi="Calibri" w:cs="Arial"/>
                <w:sz w:val="20"/>
                <w:szCs w:val="20"/>
                <w:lang w:val="fr-FR"/>
              </w:rPr>
              <w:t>Alliance</w:t>
            </w:r>
          </w:p>
          <w:p w14:paraId="06E4B3AC" w14:textId="5D09B007" w:rsidR="00151E80" w:rsidRPr="00BD3D8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de résumés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impact pour les ASC élaborés et diffusés</w:t>
            </w:r>
          </w:p>
        </w:tc>
      </w:tr>
      <w:tr w:rsidR="00151E80" w:rsidRPr="00880085" w14:paraId="6799F0AD" w14:textId="77777777" w:rsidTr="00151E80">
        <w:tblPrEx>
          <w:shd w:val="clear" w:color="auto" w:fill="FFFFFF" w:themeFill="background1"/>
        </w:tblPrEx>
        <w:trPr>
          <w:trHeight w:val="70"/>
        </w:trPr>
        <w:tc>
          <w:tcPr>
            <w:tcW w:w="628" w:type="pct"/>
            <w:vMerge/>
            <w:shd w:val="clear" w:color="auto" w:fill="FFFFFF" w:themeFill="background1"/>
          </w:tcPr>
          <w:p w14:paraId="027D9CF0" w14:textId="77777777" w:rsidR="00151E80" w:rsidRPr="00BD3D80" w:rsidRDefault="00151E80" w:rsidP="00E644E8">
            <w:pPr>
              <w:spacing w:after="0" w:line="240" w:lineRule="auto"/>
              <w:jc w:val="center"/>
              <w:rPr>
                <w:rFonts w:eastAsia="Times New Roman" w:cs="Arial"/>
                <w:b/>
                <w:bCs/>
                <w:color w:val="000000"/>
                <w:sz w:val="20"/>
                <w:szCs w:val="20"/>
                <w:lang w:val="fr-FR"/>
              </w:rPr>
            </w:pPr>
          </w:p>
        </w:tc>
        <w:tc>
          <w:tcPr>
            <w:tcW w:w="1668" w:type="pct"/>
            <w:vMerge/>
            <w:shd w:val="clear" w:color="auto" w:fill="FFFFFF" w:themeFill="background1"/>
            <w:vAlign w:val="center"/>
          </w:tcPr>
          <w:p w14:paraId="16F3004A" w14:textId="5F1D4F71" w:rsidR="00151E80" w:rsidRPr="00BD3D80" w:rsidRDefault="00151E80" w:rsidP="00E644E8">
            <w:pPr>
              <w:spacing w:after="0" w:line="240" w:lineRule="auto"/>
              <w:jc w:val="center"/>
              <w:rPr>
                <w:rFonts w:eastAsia="Times New Roman" w:cs="Arial"/>
                <w:b/>
                <w:bCs/>
                <w:color w:val="000000"/>
                <w:sz w:val="20"/>
                <w:szCs w:val="20"/>
                <w:lang w:val="fr-FR"/>
              </w:rPr>
            </w:pPr>
          </w:p>
        </w:tc>
        <w:tc>
          <w:tcPr>
            <w:tcW w:w="2704" w:type="pct"/>
            <w:shd w:val="clear" w:color="auto" w:fill="FFFFFF" w:themeFill="background1"/>
            <w:vAlign w:val="center"/>
          </w:tcPr>
          <w:p w14:paraId="2121D824" w14:textId="77777777" w:rsidR="00151E80" w:rsidRPr="00BD3D8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 xml:space="preserve">Boîte à outils MEAL élaborée et déployée </w:t>
            </w:r>
          </w:p>
          <w:p w14:paraId="035ED18E" w14:textId="4888E6AC" w:rsidR="00151E80" w:rsidRPr="00BD3D8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sz w:val="20"/>
                <w:szCs w:val="20"/>
                <w:lang w:val="fr-FR"/>
              </w:rPr>
              <w:t>Outils de collecte des données créés</w:t>
            </w:r>
          </w:p>
        </w:tc>
      </w:tr>
      <w:tr w:rsidR="00151E80" w:rsidRPr="00880085" w14:paraId="3BB0CC1D" w14:textId="77777777" w:rsidTr="00151E80">
        <w:tblPrEx>
          <w:shd w:val="clear" w:color="auto" w:fill="FFFFFF" w:themeFill="background1"/>
        </w:tblPrEx>
        <w:trPr>
          <w:trHeight w:val="70"/>
        </w:trPr>
        <w:tc>
          <w:tcPr>
            <w:tcW w:w="628" w:type="pct"/>
            <w:vMerge/>
            <w:shd w:val="clear" w:color="auto" w:fill="FFFFFF" w:themeFill="background1"/>
          </w:tcPr>
          <w:p w14:paraId="493A90AD" w14:textId="77777777" w:rsidR="00151E80" w:rsidRPr="00BD3D80" w:rsidRDefault="00151E80" w:rsidP="00E644E8">
            <w:pPr>
              <w:spacing w:after="0" w:line="240" w:lineRule="auto"/>
              <w:jc w:val="center"/>
              <w:rPr>
                <w:rFonts w:eastAsia="Times New Roman" w:cs="Arial"/>
                <w:b/>
                <w:bCs/>
                <w:color w:val="000000"/>
                <w:sz w:val="20"/>
                <w:szCs w:val="20"/>
                <w:lang w:val="fr-FR"/>
              </w:rPr>
            </w:pPr>
          </w:p>
        </w:tc>
        <w:tc>
          <w:tcPr>
            <w:tcW w:w="1668" w:type="pct"/>
            <w:vMerge/>
            <w:shd w:val="clear" w:color="auto" w:fill="FFFFFF" w:themeFill="background1"/>
            <w:vAlign w:val="center"/>
            <w:hideMark/>
          </w:tcPr>
          <w:p w14:paraId="7D7D07AA" w14:textId="27FA5278" w:rsidR="00151E80" w:rsidRPr="00BD3D80" w:rsidRDefault="00151E80" w:rsidP="00E644E8">
            <w:pPr>
              <w:spacing w:after="0" w:line="240" w:lineRule="auto"/>
              <w:jc w:val="center"/>
              <w:rPr>
                <w:rFonts w:eastAsia="Times New Roman" w:cs="Arial"/>
                <w:b/>
                <w:bCs/>
                <w:color w:val="000000"/>
                <w:sz w:val="20"/>
                <w:szCs w:val="20"/>
                <w:lang w:val="fr-FR"/>
              </w:rPr>
            </w:pPr>
          </w:p>
        </w:tc>
        <w:tc>
          <w:tcPr>
            <w:tcW w:w="2704" w:type="pct"/>
            <w:shd w:val="clear" w:color="auto" w:fill="FFFFFF" w:themeFill="background1"/>
            <w:vAlign w:val="center"/>
          </w:tcPr>
          <w:p w14:paraId="08048CBC" w14:textId="3D8659DF" w:rsidR="00151E80" w:rsidRPr="00BD3D80" w:rsidRDefault="00151E80"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Déploiement et analyse de l</w:t>
            </w:r>
            <w:r w:rsidR="002C54BD">
              <w:rPr>
                <w:rFonts w:ascii="Calibri" w:eastAsia="Times New Roman" w:hAnsi="Calibri" w:cs="Arial"/>
                <w:sz w:val="20"/>
                <w:szCs w:val="20"/>
                <w:lang w:val="fr-FR"/>
              </w:rPr>
              <w:t>’</w:t>
            </w:r>
            <w:r>
              <w:rPr>
                <w:rFonts w:ascii="Calibri" w:eastAsia="Times New Roman" w:hAnsi="Calibri" w:cs="Arial"/>
                <w:sz w:val="20"/>
                <w:szCs w:val="20"/>
                <w:lang w:val="fr-FR"/>
              </w:rPr>
              <w:t>enquête annuelle sur les OSC (pour connaître l</w:t>
            </w:r>
            <w:r w:rsidR="002C54BD">
              <w:rPr>
                <w:rFonts w:ascii="Calibri" w:eastAsia="Times New Roman" w:hAnsi="Calibri" w:cs="Arial"/>
                <w:sz w:val="20"/>
                <w:szCs w:val="20"/>
                <w:lang w:val="fr-FR"/>
              </w:rPr>
              <w:t>’</w:t>
            </w:r>
            <w:r>
              <w:rPr>
                <w:rFonts w:ascii="Calibri" w:eastAsia="Times New Roman" w:hAnsi="Calibri" w:cs="Arial"/>
                <w:sz w:val="20"/>
                <w:szCs w:val="20"/>
                <w:lang w:val="fr-FR"/>
              </w:rPr>
              <w:t>engagement, les réalisations, les besoins au sein de l</w:t>
            </w:r>
            <w:r w:rsidR="002C54BD">
              <w:rPr>
                <w:rFonts w:ascii="Calibri" w:eastAsia="Times New Roman" w:hAnsi="Calibri" w:cs="Arial"/>
                <w:sz w:val="20"/>
                <w:szCs w:val="20"/>
                <w:lang w:val="fr-FR"/>
              </w:rPr>
              <w:t>’</w:t>
            </w:r>
            <w:r>
              <w:rPr>
                <w:rFonts w:ascii="Calibri" w:eastAsia="Times New Roman" w:hAnsi="Calibri" w:cs="Arial"/>
                <w:sz w:val="20"/>
                <w:szCs w:val="20"/>
                <w:lang w:val="fr-FR"/>
              </w:rPr>
              <w:t>Alliance, etc.)</w:t>
            </w:r>
          </w:p>
          <w:p w14:paraId="409BFFCA" w14:textId="4E33784D" w:rsidR="00151E80" w:rsidRPr="00BD3D80" w:rsidRDefault="00151E80"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sz w:val="20"/>
                <w:szCs w:val="20"/>
                <w:lang w:val="fr-FR"/>
              </w:rPr>
              <w:t xml:space="preserve">Progrès </w:t>
            </w:r>
            <w:r w:rsidR="00523BEC">
              <w:rPr>
                <w:rFonts w:ascii="Calibri" w:eastAsia="Times New Roman" w:hAnsi="Calibri" w:cs="Arial"/>
                <w:sz w:val="20"/>
                <w:szCs w:val="20"/>
                <w:lang w:val="fr-FR"/>
              </w:rPr>
              <w:t xml:space="preserve">des </w:t>
            </w:r>
            <w:r>
              <w:rPr>
                <w:rFonts w:ascii="Calibri" w:eastAsia="Times New Roman" w:hAnsi="Calibri" w:cs="Arial"/>
                <w:sz w:val="20"/>
                <w:szCs w:val="20"/>
                <w:lang w:val="fr-FR"/>
              </w:rPr>
              <w:t xml:space="preserve">ASC par rapport au plan de travail et aux </w:t>
            </w:r>
            <w:r w:rsidR="00020732">
              <w:rPr>
                <w:rFonts w:ascii="Calibri" w:eastAsia="Times New Roman" w:hAnsi="Calibri" w:cs="Arial"/>
                <w:sz w:val="20"/>
                <w:szCs w:val="20"/>
                <w:lang w:val="fr-FR"/>
              </w:rPr>
              <w:t>cibles pluriannuelles</w:t>
            </w:r>
            <w:r>
              <w:rPr>
                <w:rFonts w:ascii="Calibri" w:eastAsia="Times New Roman" w:hAnsi="Calibri" w:cs="Arial"/>
                <w:sz w:val="20"/>
                <w:szCs w:val="20"/>
                <w:lang w:val="fr-FR"/>
              </w:rPr>
              <w:t xml:space="preserve"> disponibles</w:t>
            </w:r>
          </w:p>
        </w:tc>
      </w:tr>
      <w:tr w:rsidR="00827251" w:rsidRPr="00880085" w14:paraId="0CB1E97B" w14:textId="77777777" w:rsidTr="00151E80">
        <w:tblPrEx>
          <w:shd w:val="clear" w:color="auto" w:fill="FFFFFF" w:themeFill="background1"/>
        </w:tblPrEx>
        <w:trPr>
          <w:trHeight w:val="70"/>
        </w:trPr>
        <w:tc>
          <w:tcPr>
            <w:tcW w:w="628" w:type="pct"/>
            <w:vMerge w:val="restart"/>
            <w:shd w:val="clear" w:color="auto" w:fill="FFFFFF" w:themeFill="background1"/>
          </w:tcPr>
          <w:p w14:paraId="62A4A9DC" w14:textId="43304059" w:rsidR="00827251" w:rsidRPr="008C325D" w:rsidRDefault="00151E80" w:rsidP="00E644E8">
            <w:pPr>
              <w:spacing w:after="0" w:line="240" w:lineRule="auto"/>
              <w:rPr>
                <w:rFonts w:eastAsia="Times New Roman" w:cs="Arial"/>
                <w:color w:val="000000"/>
                <w:sz w:val="20"/>
                <w:szCs w:val="20"/>
              </w:rPr>
            </w:pPr>
            <w:r>
              <w:rPr>
                <w:rFonts w:ascii="Calibri" w:eastAsia="Times New Roman" w:hAnsi="Calibri" w:cs="Arial"/>
                <w:sz w:val="20"/>
                <w:szCs w:val="20"/>
                <w:lang w:val="fr-FR"/>
              </w:rPr>
              <w:t>Résultat intermédiaire</w:t>
            </w:r>
            <w:r w:rsidR="002C54BD">
              <w:rPr>
                <w:rFonts w:ascii="Calibri" w:eastAsia="Times New Roman" w:hAnsi="Calibri" w:cs="Arial"/>
                <w:sz w:val="20"/>
                <w:szCs w:val="20"/>
                <w:lang w:val="fr-FR"/>
              </w:rPr>
              <w:t> </w:t>
            </w:r>
            <w:r>
              <w:rPr>
                <w:rFonts w:eastAsia="Times New Roman" w:cs="Arial"/>
                <w:color w:val="000000"/>
                <w:sz w:val="20"/>
                <w:szCs w:val="20"/>
                <w:lang w:val="fr-FR"/>
              </w:rPr>
              <w:t>4.6</w:t>
            </w:r>
          </w:p>
        </w:tc>
        <w:tc>
          <w:tcPr>
            <w:tcW w:w="1668" w:type="pct"/>
            <w:shd w:val="clear" w:color="auto" w:fill="FFFFFF" w:themeFill="background1"/>
            <w:vAlign w:val="center"/>
            <w:hideMark/>
          </w:tcPr>
          <w:p w14:paraId="08934550" w14:textId="3FE8BEFC" w:rsidR="00827251" w:rsidRPr="00BD3D80" w:rsidRDefault="00827251" w:rsidP="00E644E8">
            <w:pPr>
              <w:spacing w:after="0" w:line="240" w:lineRule="auto"/>
              <w:rPr>
                <w:rFonts w:eastAsia="Times New Roman" w:cs="Arial"/>
                <w:color w:val="000000"/>
                <w:sz w:val="20"/>
                <w:szCs w:val="20"/>
                <w:lang w:val="fr-FR"/>
              </w:rPr>
            </w:pPr>
            <w:r>
              <w:rPr>
                <w:rFonts w:eastAsia="Times New Roman" w:cs="Arial"/>
                <w:color w:val="000000"/>
                <w:sz w:val="20"/>
                <w:szCs w:val="20"/>
                <w:lang w:val="fr-FR"/>
              </w:rPr>
              <w:t xml:space="preserve">4.6.1. La stratégie de plaidoyer des </w:t>
            </w:r>
            <w:r w:rsidR="00566403">
              <w:rPr>
                <w:rFonts w:eastAsia="Times New Roman" w:cs="Arial"/>
                <w:color w:val="000000"/>
                <w:sz w:val="20"/>
                <w:szCs w:val="20"/>
                <w:lang w:val="fr-FR"/>
              </w:rPr>
              <w:t>A</w:t>
            </w:r>
            <w:r>
              <w:rPr>
                <w:rFonts w:eastAsia="Times New Roman" w:cs="Arial"/>
                <w:color w:val="000000"/>
                <w:sz w:val="20"/>
                <w:szCs w:val="20"/>
                <w:lang w:val="fr-FR"/>
              </w:rPr>
              <w:t>lliances de la société civile est en place et opérationnelle (**contribue à l</w:t>
            </w:r>
            <w:r w:rsidR="002C54BD">
              <w:rPr>
                <w:rFonts w:eastAsia="Times New Roman" w:cs="Arial"/>
                <w:color w:val="000000"/>
                <w:sz w:val="20"/>
                <w:szCs w:val="20"/>
                <w:lang w:val="fr-FR"/>
              </w:rPr>
              <w:t>’</w:t>
            </w:r>
            <w:r>
              <w:rPr>
                <w:rFonts w:eastAsia="Times New Roman" w:cs="Arial"/>
                <w:color w:val="000000"/>
                <w:sz w:val="20"/>
                <w:szCs w:val="20"/>
                <w:lang w:val="fr-FR"/>
              </w:rPr>
              <w:t xml:space="preserve">indice de fonctionnalité) </w:t>
            </w:r>
          </w:p>
        </w:tc>
        <w:tc>
          <w:tcPr>
            <w:tcW w:w="2704" w:type="pct"/>
            <w:shd w:val="clear" w:color="auto" w:fill="FFFFFF" w:themeFill="background1"/>
            <w:vAlign w:val="center"/>
            <w:hideMark/>
          </w:tcPr>
          <w:p w14:paraId="0133ACE8" w14:textId="2A2F1D75"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 xml:space="preserve">Nombre </w:t>
            </w:r>
            <w:r w:rsidR="00523BEC">
              <w:rPr>
                <w:rFonts w:ascii="Calibri" w:eastAsia="Times New Roman" w:hAnsi="Calibri" w:cs="Arial"/>
                <w:color w:val="538135" w:themeColor="accent6" w:themeShade="BF"/>
                <w:sz w:val="20"/>
                <w:szCs w:val="20"/>
                <w:lang w:val="fr-FR"/>
              </w:rPr>
              <w:t>d’ASC</w:t>
            </w:r>
            <w:r>
              <w:rPr>
                <w:rFonts w:ascii="Calibri" w:eastAsia="Times New Roman" w:hAnsi="Calibri" w:cs="Arial"/>
                <w:color w:val="538135" w:themeColor="accent6" w:themeShade="BF"/>
                <w:sz w:val="20"/>
                <w:szCs w:val="20"/>
                <w:lang w:val="fr-FR"/>
              </w:rPr>
              <w:t xml:space="preserve"> qui ont élaboré et mis en œuvre des stratégies nationales de </w:t>
            </w:r>
            <w:r>
              <w:rPr>
                <w:rFonts w:ascii="Calibri" w:eastAsia="Times New Roman" w:hAnsi="Calibri" w:cs="Arial"/>
                <w:sz w:val="20"/>
                <w:szCs w:val="20"/>
                <w:lang w:val="fr-FR"/>
              </w:rPr>
              <w:t xml:space="preserve">plaidoyer </w:t>
            </w:r>
            <w:r>
              <w:rPr>
                <w:rFonts w:ascii="Calibri" w:eastAsia="Times New Roman" w:hAnsi="Calibri" w:cs="Arial"/>
                <w:color w:val="538135" w:themeColor="accent6" w:themeShade="BF"/>
                <w:sz w:val="20"/>
                <w:szCs w:val="20"/>
                <w:lang w:val="fr-FR"/>
              </w:rPr>
              <w:t>et des processus de planification</w:t>
            </w:r>
          </w:p>
          <w:p w14:paraId="065A18AD" w14:textId="77777777" w:rsidR="00946626" w:rsidRPr="00BD3D80" w:rsidRDefault="00827251"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de représentants des OSC (ventilés par sexe et par niveau national/infranational) formés au plaidoyer</w:t>
            </w:r>
          </w:p>
          <w:p w14:paraId="14D6BA33" w14:textId="45904A76" w:rsidR="00946626" w:rsidRPr="00BD3D80"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Pourcentage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ASC ayant mis en place des plans pluriannuels, qui exposent clairement leur contribution aux </w:t>
            </w:r>
            <w:r w:rsidR="0029661A">
              <w:rPr>
                <w:rFonts w:ascii="Calibri" w:eastAsia="Times New Roman" w:hAnsi="Calibri" w:cs="Arial"/>
                <w:color w:val="538135" w:themeColor="accent6" w:themeShade="BF"/>
                <w:sz w:val="20"/>
                <w:szCs w:val="20"/>
                <w:lang w:val="fr-FR"/>
              </w:rPr>
              <w:t>plans nationaux de nutrition</w:t>
            </w:r>
          </w:p>
        </w:tc>
      </w:tr>
      <w:tr w:rsidR="00827251" w:rsidRPr="00880085" w14:paraId="68346433" w14:textId="77777777" w:rsidTr="00151E80">
        <w:tblPrEx>
          <w:shd w:val="clear" w:color="auto" w:fill="FFFFFF" w:themeFill="background1"/>
        </w:tblPrEx>
        <w:trPr>
          <w:trHeight w:val="600"/>
        </w:trPr>
        <w:tc>
          <w:tcPr>
            <w:tcW w:w="628" w:type="pct"/>
            <w:vMerge/>
            <w:shd w:val="clear" w:color="auto" w:fill="FFFFFF" w:themeFill="background1"/>
          </w:tcPr>
          <w:p w14:paraId="677493E0" w14:textId="77777777" w:rsidR="00827251" w:rsidRPr="00BD3D80" w:rsidRDefault="00827251" w:rsidP="00E644E8">
            <w:pPr>
              <w:spacing w:after="0" w:line="240" w:lineRule="auto"/>
              <w:rPr>
                <w:rFonts w:eastAsia="Times New Roman" w:cs="Arial"/>
                <w:color w:val="000000"/>
                <w:sz w:val="20"/>
                <w:szCs w:val="20"/>
                <w:lang w:val="fr-FR"/>
              </w:rPr>
            </w:pPr>
          </w:p>
        </w:tc>
        <w:tc>
          <w:tcPr>
            <w:tcW w:w="1668" w:type="pct"/>
            <w:shd w:val="clear" w:color="auto" w:fill="FFFFFF" w:themeFill="background1"/>
            <w:vAlign w:val="center"/>
            <w:hideMark/>
          </w:tcPr>
          <w:p w14:paraId="2056DAF1" w14:textId="59AEA42A" w:rsidR="00827251" w:rsidRPr="00BD3D80" w:rsidRDefault="00827251" w:rsidP="00E644E8">
            <w:pPr>
              <w:spacing w:after="0" w:line="240" w:lineRule="auto"/>
              <w:rPr>
                <w:rFonts w:eastAsia="Times New Roman" w:cs="Arial"/>
                <w:color w:val="000000"/>
                <w:sz w:val="20"/>
                <w:szCs w:val="20"/>
                <w:lang w:val="fr-FR"/>
              </w:rPr>
            </w:pPr>
            <w:bookmarkStart w:id="29" w:name="_Hlk505861234"/>
            <w:r>
              <w:rPr>
                <w:rFonts w:eastAsia="Times New Roman" w:cs="Arial"/>
                <w:color w:val="000000"/>
                <w:sz w:val="20"/>
                <w:szCs w:val="20"/>
                <w:lang w:val="fr-FR"/>
              </w:rPr>
              <w:t>4.6.2. L</w:t>
            </w:r>
            <w:r w:rsidR="002C54BD">
              <w:rPr>
                <w:rFonts w:eastAsia="Times New Roman" w:cs="Arial"/>
                <w:color w:val="000000"/>
                <w:sz w:val="20"/>
                <w:szCs w:val="20"/>
                <w:lang w:val="fr-FR"/>
              </w:rPr>
              <w:t>’</w:t>
            </w:r>
            <w:r>
              <w:rPr>
                <w:rFonts w:eastAsia="Times New Roman" w:cs="Arial"/>
                <w:color w:val="000000"/>
                <w:sz w:val="20"/>
                <w:szCs w:val="20"/>
                <w:lang w:val="fr-FR"/>
              </w:rPr>
              <w:t xml:space="preserve">assistance technique est facilitée efficacement afin de mettre en œuvre les plans stratégiques des </w:t>
            </w:r>
            <w:r w:rsidR="00566403">
              <w:rPr>
                <w:rFonts w:eastAsia="Times New Roman" w:cs="Arial"/>
                <w:color w:val="000000"/>
                <w:sz w:val="20"/>
                <w:szCs w:val="20"/>
                <w:lang w:val="fr-FR"/>
              </w:rPr>
              <w:t>A</w:t>
            </w:r>
            <w:r>
              <w:rPr>
                <w:rFonts w:eastAsia="Times New Roman" w:cs="Arial"/>
                <w:color w:val="000000"/>
                <w:sz w:val="20"/>
                <w:szCs w:val="20"/>
                <w:lang w:val="fr-FR"/>
              </w:rPr>
              <w:t>lliances de la société civile</w:t>
            </w:r>
            <w:r w:rsidR="00C26CAB">
              <w:rPr>
                <w:rFonts w:eastAsia="Times New Roman" w:cs="Arial"/>
                <w:color w:val="000000"/>
                <w:sz w:val="20"/>
                <w:szCs w:val="20"/>
                <w:lang w:val="fr-FR"/>
              </w:rPr>
              <w:t xml:space="preserve">  </w:t>
            </w:r>
            <w:bookmarkEnd w:id="29"/>
          </w:p>
        </w:tc>
        <w:tc>
          <w:tcPr>
            <w:tcW w:w="2704" w:type="pct"/>
            <w:shd w:val="clear" w:color="auto" w:fill="FFFFFF" w:themeFill="background1"/>
            <w:vAlign w:val="center"/>
            <w:hideMark/>
          </w:tcPr>
          <w:p w14:paraId="348BDEF8" w14:textId="3E16FE86"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Compilation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un catalogue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assistance technique et de compétences/expertises, y compris l</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expertise du </w:t>
            </w:r>
            <w:r w:rsidR="00644F77" w:rsidRPr="00325D8D">
              <w:rPr>
                <w:rFonts w:ascii="Calibri" w:eastAsia="Times New Roman" w:hAnsi="Calibri" w:cs="Arial"/>
                <w:color w:val="538135" w:themeColor="accent6" w:themeShade="BF"/>
                <w:sz w:val="20"/>
                <w:szCs w:val="20"/>
                <w:lang w:val="fr-FR"/>
              </w:rPr>
              <w:t xml:space="preserve">comité </w:t>
            </w:r>
            <w:r w:rsidRPr="00325D8D">
              <w:rPr>
                <w:rFonts w:ascii="Calibri" w:eastAsia="Times New Roman" w:hAnsi="Calibri" w:cs="Arial"/>
                <w:color w:val="538135" w:themeColor="accent6" w:themeShade="BF"/>
                <w:sz w:val="20"/>
                <w:szCs w:val="20"/>
                <w:lang w:val="fr-FR"/>
              </w:rPr>
              <w:t>de pilotage</w:t>
            </w:r>
            <w:r>
              <w:rPr>
                <w:rFonts w:ascii="Calibri" w:eastAsia="Times New Roman" w:hAnsi="Calibri" w:cs="Arial"/>
                <w:color w:val="538135" w:themeColor="accent6" w:themeShade="BF"/>
                <w:sz w:val="20"/>
                <w:szCs w:val="20"/>
                <w:lang w:val="fr-FR"/>
              </w:rPr>
              <w:t xml:space="preserve"> et des membres de l</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ASC ainsi que le soutien des membres au </w:t>
            </w:r>
            <w:r w:rsidR="00523BEC">
              <w:rPr>
                <w:rFonts w:ascii="Calibri" w:eastAsia="Times New Roman" w:hAnsi="Calibri" w:cs="Arial"/>
                <w:color w:val="538135" w:themeColor="accent6" w:themeShade="BF"/>
                <w:sz w:val="20"/>
                <w:szCs w:val="20"/>
                <w:lang w:val="fr-FR"/>
              </w:rPr>
              <w:t>S</w:t>
            </w:r>
            <w:r>
              <w:rPr>
                <w:rFonts w:ascii="Calibri" w:eastAsia="Times New Roman" w:hAnsi="Calibri" w:cs="Arial"/>
                <w:color w:val="538135" w:themeColor="accent6" w:themeShade="BF"/>
                <w:sz w:val="20"/>
                <w:szCs w:val="20"/>
                <w:lang w:val="fr-FR"/>
              </w:rPr>
              <w:t>ecrétariat du RSC</w:t>
            </w:r>
          </w:p>
          <w:p w14:paraId="081C512A" w14:textId="13131A1B" w:rsidR="00827251" w:rsidRPr="00BD3D80" w:rsidRDefault="00827251"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Liste des membres ayant la capacité et la volonté d</w:t>
            </w:r>
            <w:r w:rsidR="002C54BD">
              <w:rPr>
                <w:rFonts w:ascii="Calibri" w:eastAsia="Times New Roman" w:hAnsi="Calibri" w:cs="Arial"/>
                <w:sz w:val="20"/>
                <w:szCs w:val="20"/>
                <w:lang w:val="fr-FR"/>
              </w:rPr>
              <w:t>’</w:t>
            </w:r>
            <w:r>
              <w:rPr>
                <w:rFonts w:ascii="Calibri" w:eastAsia="Times New Roman" w:hAnsi="Calibri" w:cs="Arial"/>
                <w:sz w:val="20"/>
                <w:szCs w:val="20"/>
                <w:lang w:val="fr-FR"/>
              </w:rPr>
              <w:t>offrir un accompagnement</w:t>
            </w:r>
          </w:p>
          <w:p w14:paraId="2D1E932E" w14:textId="65B88F21" w:rsidR="00827251" w:rsidRPr="00BD3D80" w:rsidRDefault="00827251"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Nombre de demande</w:t>
            </w:r>
            <w:r w:rsidR="00523BEC">
              <w:rPr>
                <w:rFonts w:ascii="Calibri" w:eastAsia="Times New Roman" w:hAnsi="Calibri" w:cs="Arial"/>
                <w:sz w:val="20"/>
                <w:szCs w:val="20"/>
                <w:lang w:val="fr-FR"/>
              </w:rPr>
              <w:t>s</w:t>
            </w:r>
            <w:r>
              <w:rPr>
                <w:rFonts w:ascii="Calibri" w:eastAsia="Times New Roman" w:hAnsi="Calibri" w:cs="Arial"/>
                <w:sz w:val="20"/>
                <w:szCs w:val="20"/>
                <w:lang w:val="fr-FR"/>
              </w:rPr>
              <w:t xml:space="preserve"> d</w:t>
            </w:r>
            <w:r w:rsidR="002C54BD">
              <w:rPr>
                <w:rFonts w:ascii="Calibri" w:eastAsia="Times New Roman" w:hAnsi="Calibri" w:cs="Arial"/>
                <w:sz w:val="20"/>
                <w:szCs w:val="20"/>
                <w:lang w:val="fr-FR"/>
              </w:rPr>
              <w:t>’</w:t>
            </w:r>
            <w:r>
              <w:rPr>
                <w:rFonts w:ascii="Calibri" w:eastAsia="Times New Roman" w:hAnsi="Calibri" w:cs="Arial"/>
                <w:sz w:val="20"/>
                <w:szCs w:val="20"/>
                <w:lang w:val="fr-FR"/>
              </w:rPr>
              <w:t>assistance technique d</w:t>
            </w:r>
            <w:r w:rsidR="002C54BD">
              <w:rPr>
                <w:rFonts w:ascii="Calibri" w:eastAsia="Times New Roman" w:hAnsi="Calibri" w:cs="Arial"/>
                <w:sz w:val="20"/>
                <w:szCs w:val="20"/>
                <w:lang w:val="fr-FR"/>
              </w:rPr>
              <w:t>’</w:t>
            </w:r>
            <w:r>
              <w:rPr>
                <w:rFonts w:ascii="Calibri" w:eastAsia="Times New Roman" w:hAnsi="Calibri" w:cs="Arial"/>
                <w:sz w:val="20"/>
                <w:szCs w:val="20"/>
                <w:lang w:val="fr-FR"/>
              </w:rPr>
              <w:t>OSC reçue</w:t>
            </w:r>
            <w:r w:rsidR="00523BEC">
              <w:rPr>
                <w:rFonts w:ascii="Calibri" w:eastAsia="Times New Roman" w:hAnsi="Calibri" w:cs="Arial"/>
                <w:sz w:val="20"/>
                <w:szCs w:val="20"/>
                <w:lang w:val="fr-FR"/>
              </w:rPr>
              <w:t>s</w:t>
            </w:r>
            <w:r>
              <w:rPr>
                <w:rFonts w:ascii="Calibri" w:eastAsia="Times New Roman" w:hAnsi="Calibri" w:cs="Arial"/>
                <w:sz w:val="20"/>
                <w:szCs w:val="20"/>
                <w:lang w:val="fr-FR"/>
              </w:rPr>
              <w:t>/</w:t>
            </w:r>
            <w:r w:rsidR="00020732">
              <w:rPr>
                <w:rFonts w:ascii="Calibri" w:eastAsia="Times New Roman" w:hAnsi="Calibri" w:cs="Arial"/>
                <w:sz w:val="20"/>
                <w:szCs w:val="20"/>
                <w:lang w:val="fr-FR"/>
              </w:rPr>
              <w:t xml:space="preserve">traitées </w:t>
            </w:r>
          </w:p>
          <w:p w14:paraId="3F1A1F6D" w14:textId="50B13886" w:rsidR="00827251" w:rsidRPr="00BD3D80" w:rsidRDefault="00827251" w:rsidP="00E644E8">
            <w:pPr>
              <w:pStyle w:val="ListParagraph"/>
              <w:numPr>
                <w:ilvl w:val="0"/>
                <w:numId w:val="21"/>
              </w:numPr>
              <w:spacing w:after="0" w:line="240" w:lineRule="auto"/>
              <w:rPr>
                <w:rFonts w:ascii="Calibri" w:eastAsia="Times New Roman" w:hAnsi="Calibri" w:cs="Arial"/>
                <w:sz w:val="20"/>
                <w:szCs w:val="20"/>
                <w:lang w:val="fr-FR"/>
              </w:rPr>
            </w:pPr>
            <w:r>
              <w:rPr>
                <w:rFonts w:ascii="Calibri" w:eastAsia="Times New Roman" w:hAnsi="Calibri" w:cs="Arial"/>
                <w:sz w:val="20"/>
                <w:szCs w:val="20"/>
                <w:lang w:val="fr-FR"/>
              </w:rPr>
              <w:t>Nombre de représentants d</w:t>
            </w:r>
            <w:r w:rsidR="002C54BD">
              <w:rPr>
                <w:rFonts w:ascii="Calibri" w:eastAsia="Times New Roman" w:hAnsi="Calibri" w:cs="Arial"/>
                <w:sz w:val="20"/>
                <w:szCs w:val="20"/>
                <w:lang w:val="fr-FR"/>
              </w:rPr>
              <w:t>’</w:t>
            </w:r>
            <w:r>
              <w:rPr>
                <w:rFonts w:ascii="Calibri" w:eastAsia="Times New Roman" w:hAnsi="Calibri" w:cs="Arial"/>
                <w:sz w:val="20"/>
                <w:szCs w:val="20"/>
                <w:lang w:val="fr-FR"/>
              </w:rPr>
              <w:t>OSC (ventilés par sexe et par niveau national/infranational) bénéficiant d</w:t>
            </w:r>
            <w:r w:rsidR="002C54BD">
              <w:rPr>
                <w:rFonts w:ascii="Calibri" w:eastAsia="Times New Roman" w:hAnsi="Calibri" w:cs="Arial"/>
                <w:sz w:val="20"/>
                <w:szCs w:val="20"/>
                <w:lang w:val="fr-FR"/>
              </w:rPr>
              <w:t>’</w:t>
            </w:r>
            <w:r>
              <w:rPr>
                <w:rFonts w:ascii="Calibri" w:eastAsia="Times New Roman" w:hAnsi="Calibri" w:cs="Arial"/>
                <w:sz w:val="20"/>
                <w:szCs w:val="20"/>
                <w:lang w:val="fr-FR"/>
              </w:rPr>
              <w:t>un renforcement des capacités sur des sujets spécifiques (organisé par l</w:t>
            </w:r>
            <w:r w:rsidR="002C54BD">
              <w:rPr>
                <w:rFonts w:ascii="Calibri" w:eastAsia="Times New Roman" w:hAnsi="Calibri" w:cs="Arial"/>
                <w:sz w:val="20"/>
                <w:szCs w:val="20"/>
                <w:lang w:val="fr-FR"/>
              </w:rPr>
              <w:t>’</w:t>
            </w:r>
            <w:r>
              <w:rPr>
                <w:rFonts w:ascii="Calibri" w:eastAsia="Times New Roman" w:hAnsi="Calibri" w:cs="Arial"/>
                <w:sz w:val="20"/>
                <w:szCs w:val="20"/>
                <w:lang w:val="fr-FR"/>
              </w:rPr>
              <w:t>Alliance</w:t>
            </w:r>
            <w:r w:rsidR="00020732">
              <w:rPr>
                <w:rFonts w:ascii="Calibri" w:eastAsia="Times New Roman" w:hAnsi="Calibri" w:cs="Arial"/>
                <w:sz w:val="20"/>
                <w:szCs w:val="20"/>
                <w:lang w:val="fr-FR"/>
              </w:rPr>
              <w:t>, par</w:t>
            </w:r>
            <w:r>
              <w:rPr>
                <w:rFonts w:ascii="Calibri" w:eastAsia="Times New Roman" w:hAnsi="Calibri" w:cs="Arial"/>
                <w:sz w:val="20"/>
                <w:szCs w:val="20"/>
                <w:lang w:val="fr-FR"/>
              </w:rPr>
              <w:t xml:space="preserve"> exemple, programmes de protection sociale, WASH, intervention intégrée en matière de nutrition, etc.)</w:t>
            </w:r>
          </w:p>
        </w:tc>
      </w:tr>
      <w:tr w:rsidR="00827251" w:rsidRPr="00880085" w14:paraId="78477142" w14:textId="77777777" w:rsidTr="00151E80">
        <w:tblPrEx>
          <w:shd w:val="clear" w:color="auto" w:fill="FFFFFF" w:themeFill="background1"/>
        </w:tblPrEx>
        <w:trPr>
          <w:trHeight w:val="70"/>
        </w:trPr>
        <w:tc>
          <w:tcPr>
            <w:tcW w:w="628" w:type="pct"/>
            <w:vMerge/>
            <w:shd w:val="clear" w:color="auto" w:fill="FFFFFF" w:themeFill="background1"/>
          </w:tcPr>
          <w:p w14:paraId="586C27EF" w14:textId="77777777" w:rsidR="00827251" w:rsidRPr="00BD3D80" w:rsidRDefault="00827251" w:rsidP="00E644E8">
            <w:pPr>
              <w:spacing w:after="0" w:line="240" w:lineRule="auto"/>
              <w:rPr>
                <w:rFonts w:eastAsia="Times New Roman" w:cs="Arial"/>
                <w:color w:val="000000"/>
                <w:sz w:val="20"/>
                <w:szCs w:val="20"/>
                <w:lang w:val="fr-FR"/>
              </w:rPr>
            </w:pPr>
          </w:p>
        </w:tc>
        <w:tc>
          <w:tcPr>
            <w:tcW w:w="1668" w:type="pct"/>
            <w:shd w:val="clear" w:color="auto" w:fill="FFFFFF" w:themeFill="background1"/>
            <w:vAlign w:val="center"/>
            <w:hideMark/>
          </w:tcPr>
          <w:p w14:paraId="3CF4DCEF" w14:textId="32DC1673" w:rsidR="00827251" w:rsidRPr="00BD3D80" w:rsidRDefault="00827251" w:rsidP="00E644E8">
            <w:pPr>
              <w:spacing w:after="0" w:line="240" w:lineRule="auto"/>
              <w:rPr>
                <w:rFonts w:eastAsia="Times New Roman" w:cs="Arial"/>
                <w:color w:val="000000"/>
                <w:sz w:val="20"/>
                <w:szCs w:val="20"/>
                <w:lang w:val="fr-FR"/>
              </w:rPr>
            </w:pPr>
            <w:r>
              <w:rPr>
                <w:rFonts w:eastAsia="Times New Roman" w:cs="Arial"/>
                <w:color w:val="000000"/>
                <w:sz w:val="20"/>
                <w:szCs w:val="20"/>
                <w:lang w:val="fr-FR"/>
              </w:rPr>
              <w:t>4.6.3. Une bibliothèque d’outils et de lignes directrices sur les grands domaines thématiques est développée et mise à jour</w:t>
            </w:r>
            <w:r w:rsidR="00C26CAB">
              <w:rPr>
                <w:rFonts w:eastAsia="Times New Roman" w:cs="Arial"/>
                <w:color w:val="000000"/>
                <w:sz w:val="20"/>
                <w:szCs w:val="20"/>
                <w:lang w:val="fr-FR"/>
              </w:rPr>
              <w:t xml:space="preserve">  </w:t>
            </w:r>
          </w:p>
        </w:tc>
        <w:tc>
          <w:tcPr>
            <w:tcW w:w="2704" w:type="pct"/>
            <w:shd w:val="clear" w:color="auto" w:fill="FFFFFF" w:themeFill="background1"/>
            <w:vAlign w:val="center"/>
            <w:hideMark/>
          </w:tcPr>
          <w:p w14:paraId="59A9E6CA" w14:textId="77777777"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de conseils techniques entre pairs fournis</w:t>
            </w:r>
          </w:p>
          <w:p w14:paraId="7833F6EE" w14:textId="43F0B2E2" w:rsidR="00946626" w:rsidRPr="00BD3D80"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 xml:space="preserve">Nombre de ressources téléchargées </w:t>
            </w:r>
            <w:r w:rsidR="00523BEC">
              <w:rPr>
                <w:rFonts w:ascii="Calibri" w:eastAsia="Times New Roman" w:hAnsi="Calibri" w:cs="Arial"/>
                <w:color w:val="538135" w:themeColor="accent6" w:themeShade="BF"/>
                <w:sz w:val="20"/>
                <w:szCs w:val="20"/>
                <w:lang w:val="fr-FR"/>
              </w:rPr>
              <w:t>du</w:t>
            </w:r>
            <w:r>
              <w:rPr>
                <w:rFonts w:ascii="Calibri" w:eastAsia="Times New Roman" w:hAnsi="Calibri" w:cs="Arial"/>
                <w:color w:val="538135" w:themeColor="accent6" w:themeShade="BF"/>
                <w:sz w:val="20"/>
                <w:szCs w:val="20"/>
                <w:lang w:val="fr-FR"/>
              </w:rPr>
              <w:t xml:space="preserve"> site Web du </w:t>
            </w:r>
            <w:r w:rsidR="00716DEB">
              <w:rPr>
                <w:rFonts w:ascii="Calibri" w:eastAsia="Times New Roman" w:hAnsi="Calibri" w:cs="Arial"/>
                <w:color w:val="538135" w:themeColor="accent6" w:themeShade="BF"/>
                <w:sz w:val="20"/>
                <w:szCs w:val="20"/>
                <w:lang w:val="fr-FR"/>
              </w:rPr>
              <w:t xml:space="preserve">Réseau de la société civile </w:t>
            </w:r>
            <w:r>
              <w:rPr>
                <w:rFonts w:ascii="Calibri" w:eastAsia="Times New Roman" w:hAnsi="Calibri" w:cs="Arial"/>
                <w:color w:val="538135" w:themeColor="accent6" w:themeShade="BF"/>
                <w:sz w:val="20"/>
                <w:szCs w:val="20"/>
                <w:lang w:val="fr-FR"/>
              </w:rPr>
              <w:t xml:space="preserve">SUN (ventilées par thème) </w:t>
            </w:r>
          </w:p>
          <w:p w14:paraId="7C950D9B" w14:textId="370E1E1E" w:rsidR="00946626" w:rsidRPr="00BD3D80"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Pourcentage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alliances utilisant des ressources/outils qui font état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un retour positif </w:t>
            </w:r>
          </w:p>
          <w:p w14:paraId="18CC7F97" w14:textId="083B12F2" w:rsidR="00946626" w:rsidRPr="00BD3D80" w:rsidRDefault="00946626" w:rsidP="00946626">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Élaboration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un stockage des ressources</w:t>
            </w:r>
          </w:p>
        </w:tc>
      </w:tr>
      <w:tr w:rsidR="00827251" w:rsidRPr="00880085" w14:paraId="50B977B5" w14:textId="77777777" w:rsidTr="00151E80">
        <w:tblPrEx>
          <w:shd w:val="clear" w:color="auto" w:fill="FFFFFF" w:themeFill="background1"/>
        </w:tblPrEx>
        <w:trPr>
          <w:trHeight w:val="70"/>
        </w:trPr>
        <w:tc>
          <w:tcPr>
            <w:tcW w:w="628" w:type="pct"/>
            <w:vMerge/>
            <w:shd w:val="clear" w:color="auto" w:fill="FFFFFF" w:themeFill="background1"/>
          </w:tcPr>
          <w:p w14:paraId="15581A54" w14:textId="77777777" w:rsidR="00827251" w:rsidRPr="00BD3D80" w:rsidRDefault="00827251" w:rsidP="00E644E8">
            <w:pPr>
              <w:spacing w:after="0" w:line="240" w:lineRule="auto"/>
              <w:rPr>
                <w:rFonts w:eastAsia="Times New Roman" w:cs="Arial"/>
                <w:color w:val="000000"/>
                <w:sz w:val="20"/>
                <w:szCs w:val="20"/>
                <w:lang w:val="fr-FR"/>
              </w:rPr>
            </w:pPr>
          </w:p>
        </w:tc>
        <w:tc>
          <w:tcPr>
            <w:tcW w:w="1668" w:type="pct"/>
            <w:vMerge w:val="restart"/>
            <w:shd w:val="clear" w:color="auto" w:fill="FFFFFF" w:themeFill="background1"/>
            <w:vAlign w:val="center"/>
            <w:hideMark/>
          </w:tcPr>
          <w:p w14:paraId="67D0F406" w14:textId="3F9CBDA0" w:rsidR="00827251" w:rsidRPr="00BD3D80" w:rsidRDefault="00827251" w:rsidP="00E644E8">
            <w:pPr>
              <w:spacing w:after="0" w:line="240" w:lineRule="auto"/>
              <w:rPr>
                <w:rFonts w:eastAsia="Times New Roman" w:cs="Arial"/>
                <w:color w:val="000000"/>
                <w:sz w:val="20"/>
                <w:szCs w:val="20"/>
                <w:lang w:val="fr-FR"/>
              </w:rPr>
            </w:pPr>
            <w:r>
              <w:rPr>
                <w:rFonts w:eastAsia="Times New Roman" w:cs="Arial"/>
                <w:color w:val="000000"/>
                <w:sz w:val="20"/>
                <w:szCs w:val="20"/>
                <w:lang w:val="fr-FR"/>
              </w:rPr>
              <w:t>4.6.4. Des échanges d</w:t>
            </w:r>
            <w:r w:rsidR="002C54BD">
              <w:rPr>
                <w:rFonts w:eastAsia="Times New Roman" w:cs="Arial"/>
                <w:color w:val="000000"/>
                <w:sz w:val="20"/>
                <w:szCs w:val="20"/>
                <w:lang w:val="fr-FR"/>
              </w:rPr>
              <w:t>’</w:t>
            </w:r>
            <w:r>
              <w:rPr>
                <w:rFonts w:eastAsia="Times New Roman" w:cs="Arial"/>
                <w:color w:val="000000"/>
                <w:sz w:val="20"/>
                <w:szCs w:val="20"/>
                <w:lang w:val="fr-FR"/>
              </w:rPr>
              <w:t xml:space="preserve">apprentissage mutuel entre les </w:t>
            </w:r>
            <w:r w:rsidR="00523BEC">
              <w:rPr>
                <w:rFonts w:eastAsia="Times New Roman" w:cs="Arial"/>
                <w:color w:val="000000"/>
                <w:sz w:val="20"/>
                <w:szCs w:val="20"/>
                <w:lang w:val="fr-FR"/>
              </w:rPr>
              <w:t>ASC</w:t>
            </w:r>
            <w:r>
              <w:rPr>
                <w:rFonts w:eastAsia="Times New Roman" w:cs="Arial"/>
                <w:color w:val="000000"/>
                <w:sz w:val="20"/>
                <w:szCs w:val="20"/>
                <w:lang w:val="fr-FR"/>
              </w:rPr>
              <w:t xml:space="preserve"> et au sein du réseau ont eu lieu </w:t>
            </w:r>
          </w:p>
        </w:tc>
        <w:tc>
          <w:tcPr>
            <w:tcW w:w="2704" w:type="pct"/>
            <w:shd w:val="clear" w:color="auto" w:fill="FFFFFF" w:themeFill="background1"/>
            <w:vAlign w:val="center"/>
            <w:hideMark/>
          </w:tcPr>
          <w:p w14:paraId="562E7E8B" w14:textId="76358C0D"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Les systèmes de demande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assistance technique et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 xml:space="preserve">évaluation de la mise en œuvre sont en place et </w:t>
            </w:r>
            <w:r>
              <w:rPr>
                <w:rFonts w:ascii="Calibri" w:eastAsia="Times New Roman" w:hAnsi="Calibri" w:cs="Arial"/>
                <w:sz w:val="20"/>
                <w:szCs w:val="20"/>
                <w:lang w:val="fr-FR"/>
              </w:rPr>
              <w:t>utilisés avec succès pour fournir une assistance technique</w:t>
            </w:r>
          </w:p>
        </w:tc>
      </w:tr>
      <w:tr w:rsidR="00827251" w:rsidRPr="00880085" w14:paraId="4BFBCA8E" w14:textId="77777777" w:rsidTr="00151E80">
        <w:tblPrEx>
          <w:shd w:val="clear" w:color="auto" w:fill="FFFFFF" w:themeFill="background1"/>
        </w:tblPrEx>
        <w:trPr>
          <w:trHeight w:val="315"/>
        </w:trPr>
        <w:tc>
          <w:tcPr>
            <w:tcW w:w="628" w:type="pct"/>
            <w:vMerge/>
            <w:shd w:val="clear" w:color="auto" w:fill="FFFFFF" w:themeFill="background1"/>
          </w:tcPr>
          <w:p w14:paraId="674C144E" w14:textId="77777777" w:rsidR="00827251" w:rsidRPr="00BD3D80" w:rsidRDefault="00827251" w:rsidP="00E644E8">
            <w:pPr>
              <w:spacing w:after="0" w:line="240" w:lineRule="auto"/>
              <w:jc w:val="center"/>
              <w:rPr>
                <w:rFonts w:ascii="Arial" w:eastAsia="Times New Roman" w:hAnsi="Arial" w:cs="Arial"/>
                <w:b/>
                <w:bCs/>
                <w:color w:val="000000"/>
                <w:sz w:val="20"/>
                <w:szCs w:val="20"/>
                <w:lang w:val="fr-FR"/>
              </w:rPr>
            </w:pPr>
          </w:p>
        </w:tc>
        <w:tc>
          <w:tcPr>
            <w:tcW w:w="1668" w:type="pct"/>
            <w:vMerge/>
            <w:shd w:val="clear" w:color="auto" w:fill="FFFFFF" w:themeFill="background1"/>
            <w:vAlign w:val="center"/>
            <w:hideMark/>
          </w:tcPr>
          <w:p w14:paraId="76323317" w14:textId="6FF6BA0A" w:rsidR="00827251" w:rsidRPr="00BD3D80" w:rsidRDefault="00827251" w:rsidP="00E644E8">
            <w:pPr>
              <w:spacing w:after="0" w:line="240" w:lineRule="auto"/>
              <w:jc w:val="center"/>
              <w:rPr>
                <w:rFonts w:ascii="Arial" w:eastAsia="Times New Roman" w:hAnsi="Arial" w:cs="Arial"/>
                <w:b/>
                <w:bCs/>
                <w:color w:val="000000"/>
                <w:sz w:val="20"/>
                <w:szCs w:val="20"/>
                <w:lang w:val="fr-FR"/>
              </w:rPr>
            </w:pPr>
          </w:p>
        </w:tc>
        <w:tc>
          <w:tcPr>
            <w:tcW w:w="2704" w:type="pct"/>
            <w:shd w:val="clear" w:color="auto" w:fill="FFFFFF" w:themeFill="background1"/>
            <w:vAlign w:val="center"/>
            <w:hideMark/>
          </w:tcPr>
          <w:p w14:paraId="70A74419" w14:textId="7F058693"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color w:val="538135" w:themeColor="accent6" w:themeShade="BF"/>
                <w:sz w:val="20"/>
                <w:szCs w:val="20"/>
                <w:lang w:val="fr-FR"/>
              </w:rPr>
              <w:t>Nombre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événements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échange d</w:t>
            </w:r>
            <w:r w:rsidR="002C54BD">
              <w:rPr>
                <w:rFonts w:ascii="Calibri" w:eastAsia="Times New Roman" w:hAnsi="Calibri" w:cs="Arial"/>
                <w:color w:val="538135" w:themeColor="accent6" w:themeShade="BF"/>
                <w:sz w:val="20"/>
                <w:szCs w:val="20"/>
                <w:lang w:val="fr-FR"/>
              </w:rPr>
              <w:t>’</w:t>
            </w:r>
            <w:r>
              <w:rPr>
                <w:rFonts w:ascii="Calibri" w:eastAsia="Times New Roman" w:hAnsi="Calibri" w:cs="Arial"/>
                <w:color w:val="538135" w:themeColor="accent6" w:themeShade="BF"/>
                <w:sz w:val="20"/>
                <w:szCs w:val="20"/>
                <w:lang w:val="fr-FR"/>
              </w:rPr>
              <w:t>apprentissage organisés au niveau infranational, national et international et nombre de participants (ventilation par sexe)</w:t>
            </w:r>
          </w:p>
          <w:p w14:paraId="7EDEFF79" w14:textId="2D3E5727" w:rsidR="00827251" w:rsidRPr="00BD3D80" w:rsidRDefault="00827251" w:rsidP="00E644E8">
            <w:pPr>
              <w:pStyle w:val="ListParagraph"/>
              <w:numPr>
                <w:ilvl w:val="0"/>
                <w:numId w:val="21"/>
              </w:numPr>
              <w:spacing w:after="0" w:line="240" w:lineRule="auto"/>
              <w:rPr>
                <w:rFonts w:ascii="Calibri" w:eastAsia="Times New Roman" w:hAnsi="Calibri" w:cs="Arial"/>
                <w:color w:val="538135" w:themeColor="accent6" w:themeShade="BF"/>
                <w:sz w:val="20"/>
                <w:szCs w:val="20"/>
                <w:lang w:val="fr-FR"/>
              </w:rPr>
            </w:pPr>
            <w:r>
              <w:rPr>
                <w:rFonts w:ascii="Calibri" w:eastAsia="Times New Roman" w:hAnsi="Calibri" w:cs="Arial"/>
                <w:sz w:val="20"/>
                <w:szCs w:val="20"/>
                <w:lang w:val="fr-FR"/>
              </w:rPr>
              <w:t>Nombre d</w:t>
            </w:r>
            <w:r w:rsidR="002C54BD">
              <w:rPr>
                <w:rFonts w:ascii="Calibri" w:eastAsia="Times New Roman" w:hAnsi="Calibri" w:cs="Arial"/>
                <w:sz w:val="20"/>
                <w:szCs w:val="20"/>
                <w:lang w:val="fr-FR"/>
              </w:rPr>
              <w:t>’</w:t>
            </w:r>
            <w:r>
              <w:rPr>
                <w:rFonts w:ascii="Calibri" w:eastAsia="Times New Roman" w:hAnsi="Calibri" w:cs="Arial"/>
                <w:sz w:val="20"/>
                <w:szCs w:val="20"/>
                <w:lang w:val="fr-FR"/>
              </w:rPr>
              <w:t>initiatives d</w:t>
            </w:r>
            <w:r w:rsidR="002C54BD">
              <w:rPr>
                <w:rFonts w:ascii="Calibri" w:eastAsia="Times New Roman" w:hAnsi="Calibri" w:cs="Arial"/>
                <w:sz w:val="20"/>
                <w:szCs w:val="20"/>
                <w:lang w:val="fr-FR"/>
              </w:rPr>
              <w:t>’</w:t>
            </w:r>
            <w:r>
              <w:rPr>
                <w:rFonts w:ascii="Calibri" w:eastAsia="Times New Roman" w:hAnsi="Calibri" w:cs="Arial"/>
                <w:sz w:val="20"/>
                <w:szCs w:val="20"/>
                <w:lang w:val="fr-FR"/>
              </w:rPr>
              <w:t>apprentissage menées (séminaires, ateliers, apprentissage entre pairs, échanges d</w:t>
            </w:r>
            <w:r w:rsidR="002C54BD">
              <w:rPr>
                <w:rFonts w:ascii="Calibri" w:eastAsia="Times New Roman" w:hAnsi="Calibri" w:cs="Arial"/>
                <w:sz w:val="20"/>
                <w:szCs w:val="20"/>
                <w:lang w:val="fr-FR"/>
              </w:rPr>
              <w:t>’</w:t>
            </w:r>
            <w:r>
              <w:rPr>
                <w:rFonts w:ascii="Calibri" w:eastAsia="Times New Roman" w:hAnsi="Calibri" w:cs="Arial"/>
                <w:sz w:val="20"/>
                <w:szCs w:val="20"/>
                <w:lang w:val="fr-FR"/>
              </w:rPr>
              <w:t>apprentissage, etc.)</w:t>
            </w:r>
          </w:p>
        </w:tc>
      </w:tr>
    </w:tbl>
    <w:p w14:paraId="15967E55" w14:textId="2BD4964D" w:rsidR="001A3B0A" w:rsidRPr="00BD3D80" w:rsidRDefault="001A3B0A">
      <w:pPr>
        <w:rPr>
          <w:sz w:val="20"/>
          <w:szCs w:val="20"/>
          <w:lang w:val="fr-FR"/>
        </w:rPr>
      </w:pPr>
    </w:p>
    <w:p w14:paraId="1596E1F7" w14:textId="77777777" w:rsidR="001A3B0A" w:rsidRPr="00BD3D80" w:rsidRDefault="001A3B0A">
      <w:pPr>
        <w:rPr>
          <w:sz w:val="20"/>
          <w:szCs w:val="20"/>
          <w:lang w:val="fr-FR"/>
        </w:rPr>
      </w:pPr>
      <w:r>
        <w:rPr>
          <w:sz w:val="20"/>
          <w:szCs w:val="20"/>
          <w:lang w:val="fr-FR"/>
        </w:rPr>
        <w:br w:type="page"/>
      </w:r>
    </w:p>
    <w:p w14:paraId="7E94C19D" w14:textId="77777777" w:rsidR="007B7536" w:rsidRPr="00BD3D80" w:rsidRDefault="007B7536">
      <w:pPr>
        <w:rPr>
          <w:sz w:val="20"/>
          <w:szCs w:val="20"/>
          <w:lang w:val="fr-FR"/>
        </w:rPr>
      </w:pPr>
    </w:p>
    <w:p w14:paraId="5B4B5F4B" w14:textId="744F76E2" w:rsidR="005404AE" w:rsidRPr="001A3B0A" w:rsidRDefault="005404AE" w:rsidP="001A3B0A">
      <w:pPr>
        <w:pStyle w:val="Heading2"/>
        <w:rPr>
          <w:rFonts w:eastAsiaTheme="minorHAnsi"/>
          <w:b/>
          <w:color w:val="FFC000" w:themeColor="accent4"/>
          <w:sz w:val="28"/>
          <w:szCs w:val="28"/>
        </w:rPr>
      </w:pPr>
      <w:bookmarkStart w:id="30" w:name="_Toc37072352"/>
      <w:r>
        <w:rPr>
          <w:rFonts w:eastAsiaTheme="minorHAnsi"/>
          <w:b/>
          <w:bCs/>
          <w:color w:val="FFC000" w:themeColor="accent4"/>
          <w:sz w:val="28"/>
          <w:szCs w:val="28"/>
          <w:lang w:val="fr-FR"/>
        </w:rPr>
        <w:t>ANNEXE</w:t>
      </w:r>
      <w:r w:rsidR="002C54BD">
        <w:rPr>
          <w:rFonts w:eastAsiaTheme="minorHAnsi"/>
          <w:b/>
          <w:bCs/>
          <w:color w:val="FFC000" w:themeColor="accent4"/>
          <w:sz w:val="28"/>
          <w:szCs w:val="28"/>
          <w:lang w:val="fr-FR"/>
        </w:rPr>
        <w:t> </w:t>
      </w:r>
      <w:r>
        <w:rPr>
          <w:rFonts w:eastAsiaTheme="minorHAnsi"/>
          <w:b/>
          <w:bCs/>
          <w:color w:val="FFC000" w:themeColor="accent4"/>
          <w:sz w:val="28"/>
          <w:szCs w:val="28"/>
          <w:lang w:val="fr-FR"/>
        </w:rPr>
        <w:t>1 - Indices</w:t>
      </w:r>
      <w:bookmarkEnd w:id="30"/>
      <w:r>
        <w:rPr>
          <w:rFonts w:eastAsiaTheme="minorHAnsi"/>
          <w:b/>
          <w:bCs/>
          <w:color w:val="FFC000" w:themeColor="accent4"/>
          <w:sz w:val="28"/>
          <w:szCs w:val="28"/>
          <w:lang w:val="fr-FR"/>
        </w:rPr>
        <w:t xml:space="preserve"> </w:t>
      </w:r>
    </w:p>
    <w:p w14:paraId="7593A313" w14:textId="77777777" w:rsidR="005404AE" w:rsidRPr="003D1EE0" w:rsidRDefault="005404AE" w:rsidP="005404AE"/>
    <w:tbl>
      <w:tblPr>
        <w:tblStyle w:val="TableGrid"/>
        <w:tblW w:w="9634" w:type="dxa"/>
        <w:tblLook w:val="04A0" w:firstRow="1" w:lastRow="0" w:firstColumn="1" w:lastColumn="0" w:noHBand="0" w:noVBand="1"/>
      </w:tblPr>
      <w:tblGrid>
        <w:gridCol w:w="1980"/>
        <w:gridCol w:w="7654"/>
      </w:tblGrid>
      <w:tr w:rsidR="005404AE" w14:paraId="34E6692D" w14:textId="77777777" w:rsidTr="00DB44FD">
        <w:tc>
          <w:tcPr>
            <w:tcW w:w="9634" w:type="dxa"/>
            <w:gridSpan w:val="2"/>
          </w:tcPr>
          <w:p w14:paraId="3BE40025" w14:textId="10018F30" w:rsidR="005404AE" w:rsidRPr="005441EA" w:rsidRDefault="005404AE" w:rsidP="005E526B">
            <w:pPr>
              <w:rPr>
                <w:b/>
              </w:rPr>
            </w:pPr>
            <w:r>
              <w:rPr>
                <w:b/>
                <w:bCs/>
                <w:lang w:val="fr-FR"/>
              </w:rPr>
              <w:t>Indices de performance*</w:t>
            </w:r>
          </w:p>
        </w:tc>
      </w:tr>
      <w:tr w:rsidR="005404AE" w:rsidRPr="00880085" w14:paraId="53C0B38E" w14:textId="77777777" w:rsidTr="00DB44FD">
        <w:tc>
          <w:tcPr>
            <w:tcW w:w="1980" w:type="dxa"/>
          </w:tcPr>
          <w:p w14:paraId="065DC61B" w14:textId="14B5684A" w:rsidR="005404AE" w:rsidRPr="00BD3D80" w:rsidRDefault="005404AE" w:rsidP="005E526B">
            <w:pPr>
              <w:rPr>
                <w:lang w:val="fr-FR"/>
              </w:rPr>
            </w:pPr>
            <w:r>
              <w:rPr>
                <w:lang w:val="fr-FR"/>
              </w:rPr>
              <w:t xml:space="preserve">Indice de gouvernance </w:t>
            </w:r>
            <w:r w:rsidR="00EA4330">
              <w:rPr>
                <w:lang w:val="fr-FR"/>
              </w:rPr>
              <w:t>des</w:t>
            </w:r>
            <w:r>
              <w:rPr>
                <w:lang w:val="fr-FR"/>
              </w:rPr>
              <w:t xml:space="preserve"> RSC et ASC (score à définir) – voir produit </w:t>
            </w:r>
            <w:r>
              <w:rPr>
                <w:rFonts w:ascii="Calibri" w:hAnsi="Calibri"/>
                <w:color w:val="000000"/>
                <w:lang w:val="fr-FR"/>
              </w:rPr>
              <w:t xml:space="preserve">4.2.2.1. </w:t>
            </w:r>
          </w:p>
        </w:tc>
        <w:tc>
          <w:tcPr>
            <w:tcW w:w="7654" w:type="dxa"/>
          </w:tcPr>
          <w:p w14:paraId="2F447020" w14:textId="725BFEB5" w:rsidR="00AE63DD" w:rsidRPr="00BD3D80" w:rsidRDefault="005404AE" w:rsidP="005E526B">
            <w:pPr>
              <w:rPr>
                <w:lang w:val="fr-FR"/>
              </w:rPr>
            </w:pPr>
            <w:r>
              <w:rPr>
                <w:lang w:val="fr-FR"/>
              </w:rPr>
              <w:t xml:space="preserve">Les indicateurs contrôlés </w:t>
            </w:r>
            <w:r w:rsidR="00EA4330">
              <w:rPr>
                <w:lang w:val="fr-FR"/>
              </w:rPr>
              <w:t xml:space="preserve">au </w:t>
            </w:r>
            <w:r>
              <w:rPr>
                <w:lang w:val="fr-FR"/>
              </w:rPr>
              <w:t>produit</w:t>
            </w:r>
            <w:r w:rsidR="002C54BD">
              <w:rPr>
                <w:lang w:val="fr-FR"/>
              </w:rPr>
              <w:t> </w:t>
            </w:r>
            <w:r>
              <w:rPr>
                <w:lang w:val="fr-FR"/>
              </w:rPr>
              <w:t>4.2 font référence à la gouvernance et à la fonctionnalité de l</w:t>
            </w:r>
            <w:r w:rsidR="002C54BD">
              <w:rPr>
                <w:lang w:val="fr-FR"/>
              </w:rPr>
              <w:t>’</w:t>
            </w:r>
            <w:r>
              <w:rPr>
                <w:lang w:val="fr-FR"/>
              </w:rPr>
              <w:t>ASC/RSC.</w:t>
            </w:r>
          </w:p>
          <w:p w14:paraId="5685BCB8" w14:textId="0C709469" w:rsidR="005404AE" w:rsidRPr="00BD3D80" w:rsidRDefault="00EA4330" w:rsidP="005E526B">
            <w:pPr>
              <w:rPr>
                <w:lang w:val="fr-FR"/>
              </w:rPr>
            </w:pPr>
            <w:r>
              <w:rPr>
                <w:lang w:val="fr-FR"/>
              </w:rPr>
              <w:t>Tous les</w:t>
            </w:r>
            <w:r w:rsidR="005404AE">
              <w:rPr>
                <w:lang w:val="fr-FR"/>
              </w:rPr>
              <w:t xml:space="preserve"> RSC </w:t>
            </w:r>
            <w:r>
              <w:rPr>
                <w:lang w:val="fr-FR"/>
              </w:rPr>
              <w:t xml:space="preserve">et ASC </w:t>
            </w:r>
            <w:r w:rsidR="005404AE">
              <w:rPr>
                <w:lang w:val="fr-FR"/>
              </w:rPr>
              <w:t xml:space="preserve">sont priés </w:t>
            </w:r>
            <w:r w:rsidR="005B02CF">
              <w:rPr>
                <w:lang w:val="fr-FR"/>
              </w:rPr>
              <w:t xml:space="preserve">d’accorder une place prioritaire à ces indicateurs </w:t>
            </w:r>
            <w:r w:rsidR="005404AE">
              <w:rPr>
                <w:lang w:val="fr-FR"/>
              </w:rPr>
              <w:t>(ceux qui sont accompagnés d</w:t>
            </w:r>
            <w:r w:rsidR="002C54BD">
              <w:rPr>
                <w:lang w:val="fr-FR"/>
              </w:rPr>
              <w:t>’</w:t>
            </w:r>
            <w:r w:rsidR="005404AE">
              <w:rPr>
                <w:lang w:val="fr-FR"/>
              </w:rPr>
              <w:t xml:space="preserve">un </w:t>
            </w:r>
            <w:r>
              <w:rPr>
                <w:lang w:val="fr-FR"/>
              </w:rPr>
              <w:t>astérisque «</w:t>
            </w:r>
            <w:r w:rsidR="002C54BD">
              <w:rPr>
                <w:lang w:val="fr-FR"/>
              </w:rPr>
              <w:t> </w:t>
            </w:r>
            <w:r w:rsidR="005404AE">
              <w:rPr>
                <w:lang w:val="fr-FR"/>
              </w:rPr>
              <w:t>*</w:t>
            </w:r>
            <w:r w:rsidR="002C54BD">
              <w:rPr>
                <w:lang w:val="fr-FR"/>
              </w:rPr>
              <w:t> </w:t>
            </w:r>
            <w:r>
              <w:rPr>
                <w:lang w:val="fr-FR"/>
              </w:rPr>
              <w:t>»</w:t>
            </w:r>
            <w:r w:rsidR="005404AE">
              <w:rPr>
                <w:lang w:val="fr-FR"/>
              </w:rPr>
              <w:t>).</w:t>
            </w:r>
          </w:p>
          <w:p w14:paraId="0D6B8153" w14:textId="77777777" w:rsidR="00AE63DD" w:rsidRPr="00BD3D80" w:rsidRDefault="00AE63DD" w:rsidP="005E526B">
            <w:pPr>
              <w:rPr>
                <w:lang w:val="fr-FR"/>
              </w:rPr>
            </w:pPr>
          </w:p>
          <w:p w14:paraId="2FBF0F18" w14:textId="10DB8EFC" w:rsidR="00AE63DD" w:rsidRPr="00BD3D80" w:rsidRDefault="005404AE" w:rsidP="00AE63DD">
            <w:pPr>
              <w:rPr>
                <w:highlight w:val="yellow"/>
                <w:lang w:val="fr-FR"/>
              </w:rPr>
            </w:pPr>
            <w:r>
              <w:rPr>
                <w:lang w:val="fr-FR"/>
              </w:rPr>
              <w:t>Au niveau des résultats intermédiaires, les RSC/ASC rendront compte des résultats en utilisant un «</w:t>
            </w:r>
            <w:r w:rsidR="002C54BD">
              <w:rPr>
                <w:lang w:val="fr-FR"/>
              </w:rPr>
              <w:t> </w:t>
            </w:r>
            <w:r>
              <w:rPr>
                <w:lang w:val="fr-FR"/>
              </w:rPr>
              <w:t>indice</w:t>
            </w:r>
            <w:r w:rsidR="002C54BD">
              <w:rPr>
                <w:lang w:val="fr-FR"/>
              </w:rPr>
              <w:t> </w:t>
            </w:r>
            <w:r>
              <w:rPr>
                <w:lang w:val="fr-FR"/>
              </w:rPr>
              <w:t xml:space="preserve">» dont </w:t>
            </w:r>
            <w:r w:rsidR="00020220">
              <w:rPr>
                <w:lang w:val="fr-FR"/>
              </w:rPr>
              <w:t>la note</w:t>
            </w:r>
            <w:r>
              <w:rPr>
                <w:lang w:val="fr-FR"/>
              </w:rPr>
              <w:t xml:space="preserve"> est attribué</w:t>
            </w:r>
            <w:r w:rsidR="00020220">
              <w:rPr>
                <w:lang w:val="fr-FR"/>
              </w:rPr>
              <w:t>e</w:t>
            </w:r>
            <w:r>
              <w:rPr>
                <w:lang w:val="fr-FR"/>
              </w:rPr>
              <w:t xml:space="preserve"> </w:t>
            </w:r>
            <w:r w:rsidR="00EA4330">
              <w:rPr>
                <w:lang w:val="fr-FR"/>
              </w:rPr>
              <w:t>en fonction du</w:t>
            </w:r>
            <w:r>
              <w:rPr>
                <w:lang w:val="fr-FR"/>
              </w:rPr>
              <w:t xml:space="preserve"> résultat des indicateurs spécifiques </w:t>
            </w:r>
            <w:r>
              <w:rPr>
                <w:highlight w:val="yellow"/>
                <w:lang w:val="fr-FR"/>
              </w:rPr>
              <w:t>(1 point pour chaque indicateur dont la performance est positive.</w:t>
            </w:r>
            <w:r w:rsidR="00C26CAB">
              <w:rPr>
                <w:highlight w:val="yellow"/>
                <w:lang w:val="fr-FR"/>
              </w:rPr>
              <w:t xml:space="preserve"> </w:t>
            </w:r>
            <w:r>
              <w:rPr>
                <w:highlight w:val="yellow"/>
                <w:lang w:val="fr-FR"/>
              </w:rPr>
              <w:t>Veuillez noter que la pondération des différents indicateurs est encore en cours de discussion, n</w:t>
            </w:r>
            <w:r w:rsidR="002C54BD">
              <w:rPr>
                <w:highlight w:val="yellow"/>
                <w:lang w:val="fr-FR"/>
              </w:rPr>
              <w:t>’</w:t>
            </w:r>
            <w:r>
              <w:rPr>
                <w:highlight w:val="yellow"/>
                <w:lang w:val="fr-FR"/>
              </w:rPr>
              <w:t>hésitez pas à faire part de vos suggestions)</w:t>
            </w:r>
            <w:r>
              <w:rPr>
                <w:lang w:val="fr-FR"/>
              </w:rPr>
              <w:t>.</w:t>
            </w:r>
          </w:p>
          <w:p w14:paraId="372CFBB2" w14:textId="500DF462" w:rsidR="005404AE" w:rsidRPr="00BD3D80" w:rsidRDefault="005404AE" w:rsidP="00AE63DD">
            <w:pPr>
              <w:rPr>
                <w:lang w:val="fr-FR"/>
              </w:rPr>
            </w:pPr>
          </w:p>
        </w:tc>
      </w:tr>
      <w:tr w:rsidR="005404AE" w14:paraId="72CB6BCF" w14:textId="77777777" w:rsidTr="00DB44FD">
        <w:tc>
          <w:tcPr>
            <w:tcW w:w="1980" w:type="dxa"/>
          </w:tcPr>
          <w:p w14:paraId="22B52AE6" w14:textId="3F912E32" w:rsidR="005404AE" w:rsidRPr="00BD3D80" w:rsidRDefault="005404AE" w:rsidP="005E526B">
            <w:pPr>
              <w:rPr>
                <w:lang w:val="fr-FR"/>
              </w:rPr>
            </w:pPr>
            <w:r>
              <w:rPr>
                <w:lang w:val="fr-FR"/>
              </w:rPr>
              <w:t>Indice de fonctionnalité de</w:t>
            </w:r>
            <w:r w:rsidR="00EA4330">
              <w:rPr>
                <w:lang w:val="fr-FR"/>
              </w:rPr>
              <w:t>s</w:t>
            </w:r>
            <w:r>
              <w:rPr>
                <w:lang w:val="fr-FR"/>
              </w:rPr>
              <w:t xml:space="preserve"> ASC (pour le </w:t>
            </w:r>
            <w:r w:rsidR="00EA4330">
              <w:rPr>
                <w:lang w:val="fr-FR"/>
              </w:rPr>
              <w:t>M</w:t>
            </w:r>
            <w:r>
              <w:rPr>
                <w:lang w:val="fr-FR"/>
              </w:rPr>
              <w:t>ouvement SUN) – en cours de révision</w:t>
            </w:r>
          </w:p>
        </w:tc>
        <w:tc>
          <w:tcPr>
            <w:tcW w:w="7654" w:type="dxa"/>
          </w:tcPr>
          <w:p w14:paraId="3F6D4C5E" w14:textId="22E78EBB" w:rsidR="003C21FB" w:rsidRPr="00BD3D80" w:rsidRDefault="003C21FB" w:rsidP="005E526B">
            <w:pPr>
              <w:rPr>
                <w:lang w:val="fr-FR"/>
              </w:rPr>
            </w:pPr>
            <w:r>
              <w:rPr>
                <w:lang w:val="fr-FR"/>
              </w:rPr>
              <w:t>L</w:t>
            </w:r>
            <w:r w:rsidR="002C54BD">
              <w:rPr>
                <w:lang w:val="fr-FR"/>
              </w:rPr>
              <w:t>’</w:t>
            </w:r>
            <w:r>
              <w:rPr>
                <w:lang w:val="fr-FR"/>
              </w:rPr>
              <w:t xml:space="preserve">indice de fonctionnalité est utilisé pour </w:t>
            </w:r>
            <w:r w:rsidR="00420472">
              <w:rPr>
                <w:lang w:val="fr-FR"/>
              </w:rPr>
              <w:t>orienter</w:t>
            </w:r>
            <w:r>
              <w:rPr>
                <w:lang w:val="fr-FR"/>
              </w:rPr>
              <w:t xml:space="preserve"> le système MEAL du mouvement SUN («</w:t>
            </w:r>
            <w:r w:rsidR="002C54BD">
              <w:rPr>
                <w:lang w:val="fr-FR"/>
              </w:rPr>
              <w:t> </w:t>
            </w:r>
            <w:r>
              <w:rPr>
                <w:lang w:val="fr-FR"/>
              </w:rPr>
              <w:t>Environnement favorable</w:t>
            </w:r>
            <w:r w:rsidR="002C54BD">
              <w:rPr>
                <w:lang w:val="fr-FR"/>
              </w:rPr>
              <w:t> </w:t>
            </w:r>
            <w:r w:rsidR="00020220">
              <w:rPr>
                <w:lang w:val="fr-FR"/>
              </w:rPr>
              <w:t>»</w:t>
            </w:r>
            <w:r>
              <w:rPr>
                <w:lang w:val="fr-FR"/>
              </w:rPr>
              <w:t>) sur le statut de chaque réseau au niveau national.</w:t>
            </w:r>
          </w:p>
          <w:p w14:paraId="1B3B8B01" w14:textId="219876ED" w:rsidR="005404AE" w:rsidRPr="00BD3D80" w:rsidRDefault="005404AE" w:rsidP="005E526B">
            <w:pPr>
              <w:rPr>
                <w:lang w:val="fr-FR"/>
              </w:rPr>
            </w:pPr>
            <w:r>
              <w:rPr>
                <w:lang w:val="fr-FR"/>
              </w:rPr>
              <w:t>1.</w:t>
            </w:r>
            <w:r>
              <w:rPr>
                <w:lang w:val="fr-FR"/>
              </w:rPr>
              <w:tab/>
              <w:t>Création d</w:t>
            </w:r>
            <w:r w:rsidR="002C54BD">
              <w:rPr>
                <w:lang w:val="fr-FR"/>
              </w:rPr>
              <w:t>’</w:t>
            </w:r>
            <w:r>
              <w:rPr>
                <w:lang w:val="fr-FR"/>
              </w:rPr>
              <w:t>une alliance/coalition de la société civile (informations tirées du point</w:t>
            </w:r>
            <w:r w:rsidR="002C54BD">
              <w:rPr>
                <w:lang w:val="fr-FR"/>
              </w:rPr>
              <w:t> </w:t>
            </w:r>
            <w:r>
              <w:rPr>
                <w:lang w:val="fr-FR"/>
              </w:rPr>
              <w:t>4.5.1 et de l</w:t>
            </w:r>
            <w:r w:rsidR="002C54BD">
              <w:rPr>
                <w:lang w:val="fr-FR"/>
              </w:rPr>
              <w:t>’</w:t>
            </w:r>
            <w:r>
              <w:rPr>
                <w:lang w:val="fr-FR"/>
              </w:rPr>
              <w:t>enquête annuelle)</w:t>
            </w:r>
          </w:p>
          <w:p w14:paraId="565069D9" w14:textId="20A2F78C" w:rsidR="005404AE" w:rsidRPr="00BD3D80" w:rsidRDefault="005404AE" w:rsidP="005E526B">
            <w:pPr>
              <w:rPr>
                <w:lang w:val="fr-FR"/>
              </w:rPr>
            </w:pPr>
            <w:r>
              <w:rPr>
                <w:lang w:val="fr-FR"/>
              </w:rPr>
              <w:t>2.</w:t>
            </w:r>
            <w:r>
              <w:rPr>
                <w:lang w:val="fr-FR"/>
              </w:rPr>
              <w:tab/>
            </w:r>
            <w:r w:rsidR="005B02CF" w:rsidRPr="00325D8D">
              <w:rPr>
                <w:lang w:val="fr-FR"/>
              </w:rPr>
              <w:t xml:space="preserve">Comité </w:t>
            </w:r>
            <w:r w:rsidRPr="00325D8D">
              <w:rPr>
                <w:lang w:val="fr-FR"/>
              </w:rPr>
              <w:t>de pilotage</w:t>
            </w:r>
            <w:r>
              <w:rPr>
                <w:lang w:val="fr-FR"/>
              </w:rPr>
              <w:t>/comité exécutif en place (informations tirées du point</w:t>
            </w:r>
            <w:r w:rsidR="002C54BD">
              <w:rPr>
                <w:lang w:val="fr-FR"/>
              </w:rPr>
              <w:t> </w:t>
            </w:r>
            <w:r>
              <w:rPr>
                <w:lang w:val="fr-FR"/>
              </w:rPr>
              <w:t>4.5.1 et de l</w:t>
            </w:r>
            <w:r w:rsidR="002C54BD">
              <w:rPr>
                <w:lang w:val="fr-FR"/>
              </w:rPr>
              <w:t>’</w:t>
            </w:r>
            <w:r>
              <w:rPr>
                <w:lang w:val="fr-FR"/>
              </w:rPr>
              <w:t>enquête annuelle)</w:t>
            </w:r>
          </w:p>
          <w:p w14:paraId="65F9846B" w14:textId="313F057B" w:rsidR="005404AE" w:rsidRPr="00BD3D80" w:rsidRDefault="005404AE" w:rsidP="005E526B">
            <w:pPr>
              <w:rPr>
                <w:lang w:val="fr-FR"/>
              </w:rPr>
            </w:pPr>
            <w:r>
              <w:rPr>
                <w:lang w:val="fr-FR"/>
              </w:rPr>
              <w:t>3.</w:t>
            </w:r>
            <w:r>
              <w:rPr>
                <w:lang w:val="fr-FR"/>
              </w:rPr>
              <w:tab/>
              <w:t>Structure de coordination infranationale/décentralisée en place (informations tirées du point</w:t>
            </w:r>
            <w:r w:rsidR="002C54BD">
              <w:rPr>
                <w:lang w:val="fr-FR"/>
              </w:rPr>
              <w:t> </w:t>
            </w:r>
            <w:r>
              <w:rPr>
                <w:lang w:val="fr-FR"/>
              </w:rPr>
              <w:t>4.</w:t>
            </w:r>
            <w:r w:rsidR="00420472">
              <w:rPr>
                <w:lang w:val="fr-FR"/>
              </w:rPr>
              <w:t>4.5</w:t>
            </w:r>
            <w:r>
              <w:rPr>
                <w:lang w:val="fr-FR"/>
              </w:rPr>
              <w:t xml:space="preserve"> et de l</w:t>
            </w:r>
            <w:r w:rsidR="002C54BD">
              <w:rPr>
                <w:lang w:val="fr-FR"/>
              </w:rPr>
              <w:t>’</w:t>
            </w:r>
            <w:r>
              <w:rPr>
                <w:lang w:val="fr-FR"/>
              </w:rPr>
              <w:t>enquête annuelle)</w:t>
            </w:r>
          </w:p>
          <w:p w14:paraId="3059EDDD" w14:textId="0670FA52" w:rsidR="005404AE" w:rsidRPr="00BD3D80" w:rsidRDefault="005404AE" w:rsidP="005E526B">
            <w:pPr>
              <w:rPr>
                <w:lang w:val="fr-FR"/>
              </w:rPr>
            </w:pPr>
            <w:r>
              <w:rPr>
                <w:lang w:val="fr-FR"/>
              </w:rPr>
              <w:t>4.</w:t>
            </w:r>
            <w:r>
              <w:rPr>
                <w:lang w:val="fr-FR"/>
              </w:rPr>
              <w:tab/>
              <w:t>Financement assuré au moins pour le premier semestre* (informations tirées du point</w:t>
            </w:r>
            <w:r w:rsidR="002C54BD">
              <w:rPr>
                <w:lang w:val="fr-FR"/>
              </w:rPr>
              <w:t> </w:t>
            </w:r>
            <w:r>
              <w:rPr>
                <w:lang w:val="fr-FR"/>
              </w:rPr>
              <w:t>4.5.</w:t>
            </w:r>
            <w:r w:rsidR="00420472">
              <w:rPr>
                <w:lang w:val="fr-FR"/>
              </w:rPr>
              <w:t>2</w:t>
            </w:r>
            <w:r>
              <w:rPr>
                <w:lang w:val="fr-FR"/>
              </w:rPr>
              <w:t xml:space="preserve"> et de l</w:t>
            </w:r>
            <w:r w:rsidR="002C54BD">
              <w:rPr>
                <w:lang w:val="fr-FR"/>
              </w:rPr>
              <w:t>’</w:t>
            </w:r>
            <w:r>
              <w:rPr>
                <w:lang w:val="fr-FR"/>
              </w:rPr>
              <w:t>enquête annuelle)</w:t>
            </w:r>
          </w:p>
          <w:p w14:paraId="05070DD5" w14:textId="26BCECD7" w:rsidR="005404AE" w:rsidRPr="00BD3D80" w:rsidRDefault="005404AE" w:rsidP="005E526B">
            <w:pPr>
              <w:rPr>
                <w:lang w:val="fr-FR"/>
              </w:rPr>
            </w:pPr>
            <w:r>
              <w:rPr>
                <w:lang w:val="fr-FR"/>
              </w:rPr>
              <w:t>5.</w:t>
            </w:r>
            <w:r>
              <w:rPr>
                <w:lang w:val="fr-FR"/>
              </w:rPr>
              <w:tab/>
              <w:t xml:space="preserve">Engagement des plateformes </w:t>
            </w:r>
            <w:proofErr w:type="spellStart"/>
            <w:r>
              <w:rPr>
                <w:lang w:val="fr-FR"/>
              </w:rPr>
              <w:t>multiacteurs</w:t>
            </w:r>
            <w:proofErr w:type="spellEnd"/>
            <w:r>
              <w:rPr>
                <w:lang w:val="fr-FR"/>
              </w:rPr>
              <w:t xml:space="preserve"> (informations tirées du point</w:t>
            </w:r>
            <w:r w:rsidR="002C54BD">
              <w:rPr>
                <w:lang w:val="fr-FR"/>
              </w:rPr>
              <w:t> </w:t>
            </w:r>
            <w:r>
              <w:rPr>
                <w:lang w:val="fr-FR"/>
              </w:rPr>
              <w:t>1.3</w:t>
            </w:r>
            <w:r w:rsidR="009E04D2">
              <w:rPr>
                <w:lang w:val="fr-FR"/>
              </w:rPr>
              <w:t>,</w:t>
            </w:r>
            <w:r>
              <w:rPr>
                <w:lang w:val="fr-FR"/>
              </w:rPr>
              <w:t xml:space="preserve"> 1.4 et 4.</w:t>
            </w:r>
            <w:r w:rsidR="00420472">
              <w:rPr>
                <w:lang w:val="fr-FR"/>
              </w:rPr>
              <w:t>4.5</w:t>
            </w:r>
            <w:r>
              <w:rPr>
                <w:lang w:val="fr-FR"/>
              </w:rPr>
              <w:t xml:space="preserve"> et de l</w:t>
            </w:r>
            <w:r w:rsidR="002C54BD">
              <w:rPr>
                <w:lang w:val="fr-FR"/>
              </w:rPr>
              <w:t>’</w:t>
            </w:r>
            <w:r>
              <w:rPr>
                <w:lang w:val="fr-FR"/>
              </w:rPr>
              <w:t>enquête annuelle)</w:t>
            </w:r>
          </w:p>
          <w:p w14:paraId="00F21690" w14:textId="23121550" w:rsidR="005404AE" w:rsidRPr="00BD3D80" w:rsidRDefault="005404AE" w:rsidP="005E526B">
            <w:pPr>
              <w:rPr>
                <w:lang w:val="fr-FR"/>
              </w:rPr>
            </w:pPr>
            <w:r>
              <w:rPr>
                <w:lang w:val="fr-FR"/>
              </w:rPr>
              <w:t>6.</w:t>
            </w:r>
            <w:r>
              <w:rPr>
                <w:lang w:val="fr-FR"/>
              </w:rPr>
              <w:tab/>
              <w:t>Stratégie de l</w:t>
            </w:r>
            <w:r w:rsidR="002C54BD">
              <w:rPr>
                <w:lang w:val="fr-FR"/>
              </w:rPr>
              <w:t>’</w:t>
            </w:r>
            <w:r>
              <w:rPr>
                <w:lang w:val="fr-FR"/>
              </w:rPr>
              <w:t>ASC* (informations tirées du point</w:t>
            </w:r>
            <w:r w:rsidR="002C54BD">
              <w:rPr>
                <w:lang w:val="fr-FR"/>
              </w:rPr>
              <w:t> </w:t>
            </w:r>
            <w:r>
              <w:rPr>
                <w:lang w:val="fr-FR"/>
              </w:rPr>
              <w:t>4.6 et de l</w:t>
            </w:r>
            <w:r w:rsidR="002C54BD">
              <w:rPr>
                <w:lang w:val="fr-FR"/>
              </w:rPr>
              <w:t>’</w:t>
            </w:r>
            <w:r>
              <w:rPr>
                <w:lang w:val="fr-FR"/>
              </w:rPr>
              <w:t>enquête annuelle)</w:t>
            </w:r>
          </w:p>
          <w:p w14:paraId="6F1B4C52" w14:textId="77777777" w:rsidR="0076783B" w:rsidRPr="00BD3D80" w:rsidRDefault="0076783B" w:rsidP="005E526B">
            <w:pPr>
              <w:rPr>
                <w:lang w:val="fr-FR"/>
              </w:rPr>
            </w:pPr>
          </w:p>
          <w:p w14:paraId="7AAA4FFC" w14:textId="1D797D35" w:rsidR="0076783B" w:rsidRDefault="0076783B" w:rsidP="005E526B">
            <w:r>
              <w:rPr>
                <w:lang w:val="fr-FR"/>
              </w:rPr>
              <w:t>En interne, nous envisageons des indicateurs supplémentaires qui donnent une idée de la fonctionnalité. Ils sont représentés ici par deux astérisques «</w:t>
            </w:r>
            <w:r w:rsidR="002C54BD">
              <w:rPr>
                <w:lang w:val="fr-FR"/>
              </w:rPr>
              <w:t> </w:t>
            </w:r>
            <w:r>
              <w:rPr>
                <w:lang w:val="fr-FR"/>
              </w:rPr>
              <w:t>**</w:t>
            </w:r>
            <w:r w:rsidR="002C54BD">
              <w:rPr>
                <w:lang w:val="fr-FR"/>
              </w:rPr>
              <w:t> </w:t>
            </w:r>
            <w:r>
              <w:rPr>
                <w:lang w:val="fr-FR"/>
              </w:rPr>
              <w:t>»</w:t>
            </w:r>
          </w:p>
        </w:tc>
      </w:tr>
      <w:tr w:rsidR="005404AE" w:rsidRPr="00880085" w14:paraId="75F01981" w14:textId="77777777" w:rsidTr="00DB44FD">
        <w:tc>
          <w:tcPr>
            <w:tcW w:w="1980" w:type="dxa"/>
          </w:tcPr>
          <w:p w14:paraId="00F3C862" w14:textId="66D66C88" w:rsidR="005404AE" w:rsidRPr="00BD3D80" w:rsidRDefault="005404AE" w:rsidP="005E526B">
            <w:pPr>
              <w:rPr>
                <w:lang w:val="fr-FR"/>
              </w:rPr>
            </w:pPr>
            <w:r>
              <w:rPr>
                <w:lang w:val="fr-FR"/>
              </w:rPr>
              <w:t xml:space="preserve">Indice de fonctionnalité des plateformes </w:t>
            </w:r>
            <w:proofErr w:type="spellStart"/>
            <w:r>
              <w:rPr>
                <w:lang w:val="fr-FR"/>
              </w:rPr>
              <w:t>multiacteurs</w:t>
            </w:r>
            <w:proofErr w:type="spellEnd"/>
            <w:r>
              <w:rPr>
                <w:lang w:val="fr-FR"/>
              </w:rPr>
              <w:t xml:space="preserve"> (à confirmer)</w:t>
            </w:r>
          </w:p>
        </w:tc>
        <w:tc>
          <w:tcPr>
            <w:tcW w:w="7654" w:type="dxa"/>
          </w:tcPr>
          <w:p w14:paraId="49B07D2B" w14:textId="4B0E83AF" w:rsidR="00834C72" w:rsidRPr="00BD3D80" w:rsidRDefault="00834C72" w:rsidP="005E526B">
            <w:pPr>
              <w:rPr>
                <w:i/>
                <w:lang w:val="fr-FR"/>
              </w:rPr>
            </w:pPr>
            <w:r>
              <w:rPr>
                <w:i/>
                <w:iCs/>
                <w:lang w:val="fr-FR"/>
              </w:rPr>
              <w:t xml:space="preserve">Pour chaque plateforme </w:t>
            </w:r>
            <w:proofErr w:type="spellStart"/>
            <w:r>
              <w:rPr>
                <w:i/>
                <w:iCs/>
                <w:lang w:val="fr-FR"/>
              </w:rPr>
              <w:t>multiacteurs</w:t>
            </w:r>
            <w:proofErr w:type="spellEnd"/>
            <w:r>
              <w:rPr>
                <w:i/>
                <w:iCs/>
                <w:lang w:val="fr-FR"/>
              </w:rPr>
              <w:t xml:space="preserve">, les ASC devraient pouvoir </w:t>
            </w:r>
            <w:r w:rsidR="00420472">
              <w:rPr>
                <w:i/>
                <w:iCs/>
                <w:lang w:val="fr-FR"/>
              </w:rPr>
              <w:t>évaluer</w:t>
            </w:r>
            <w:r>
              <w:rPr>
                <w:i/>
                <w:iCs/>
                <w:lang w:val="fr-FR"/>
              </w:rPr>
              <w:t xml:space="preserve"> (</w:t>
            </w:r>
            <w:r>
              <w:rPr>
                <w:i/>
                <w:iCs/>
                <w:highlight w:val="yellow"/>
                <w:lang w:val="fr-FR"/>
              </w:rPr>
              <w:t>en cours de développement</w:t>
            </w:r>
            <w:r>
              <w:rPr>
                <w:i/>
                <w:iCs/>
                <w:lang w:val="fr-FR"/>
              </w:rPr>
              <w:t>)</w:t>
            </w:r>
          </w:p>
          <w:p w14:paraId="5A3BB97F" w14:textId="1E53F3E7" w:rsidR="005404AE" w:rsidRPr="00BD3D80" w:rsidRDefault="00834C72" w:rsidP="008C325D">
            <w:pPr>
              <w:pStyle w:val="ListParagraph"/>
              <w:numPr>
                <w:ilvl w:val="0"/>
                <w:numId w:val="22"/>
              </w:numPr>
              <w:rPr>
                <w:lang w:val="fr-FR"/>
              </w:rPr>
            </w:pPr>
            <w:r>
              <w:rPr>
                <w:lang w:val="fr-FR"/>
              </w:rPr>
              <w:t>Existence d</w:t>
            </w:r>
            <w:r w:rsidR="002C54BD">
              <w:rPr>
                <w:lang w:val="fr-FR"/>
              </w:rPr>
              <w:t>’</w:t>
            </w:r>
            <w:r>
              <w:rPr>
                <w:lang w:val="fr-FR"/>
              </w:rPr>
              <w:t xml:space="preserve">objectifs pour les plateformes </w:t>
            </w:r>
            <w:proofErr w:type="spellStart"/>
            <w:r>
              <w:rPr>
                <w:lang w:val="fr-FR"/>
              </w:rPr>
              <w:t>multiacteurs</w:t>
            </w:r>
            <w:proofErr w:type="spellEnd"/>
            <w:r>
              <w:rPr>
                <w:lang w:val="fr-FR"/>
              </w:rPr>
              <w:t xml:space="preserve"> et de cibles mesurables</w:t>
            </w:r>
          </w:p>
          <w:p w14:paraId="7F0FE2AD" w14:textId="1AE21280" w:rsidR="00834C72" w:rsidRPr="00BD3D80" w:rsidRDefault="00834C72" w:rsidP="008C325D">
            <w:pPr>
              <w:pStyle w:val="ListParagraph"/>
              <w:numPr>
                <w:ilvl w:val="0"/>
                <w:numId w:val="22"/>
              </w:numPr>
              <w:rPr>
                <w:lang w:val="fr-FR"/>
              </w:rPr>
            </w:pPr>
            <w:r>
              <w:rPr>
                <w:lang w:val="fr-FR"/>
              </w:rPr>
              <w:t>Existence d</w:t>
            </w:r>
            <w:r w:rsidR="002C54BD">
              <w:rPr>
                <w:lang w:val="fr-FR"/>
              </w:rPr>
              <w:t>’</w:t>
            </w:r>
            <w:r>
              <w:rPr>
                <w:lang w:val="fr-FR"/>
              </w:rPr>
              <w:t xml:space="preserve">un plan de travail pour les plateformes </w:t>
            </w:r>
            <w:proofErr w:type="spellStart"/>
            <w:r>
              <w:rPr>
                <w:lang w:val="fr-FR"/>
              </w:rPr>
              <w:t>multiacteurs</w:t>
            </w:r>
            <w:proofErr w:type="spellEnd"/>
            <w:r>
              <w:rPr>
                <w:lang w:val="fr-FR"/>
              </w:rPr>
              <w:t xml:space="preserve"> </w:t>
            </w:r>
          </w:p>
          <w:p w14:paraId="6989C2AF" w14:textId="77777777" w:rsidR="00834C72" w:rsidRPr="00BD3D80" w:rsidRDefault="00834C72" w:rsidP="008C325D">
            <w:pPr>
              <w:pStyle w:val="ListParagraph"/>
              <w:numPr>
                <w:ilvl w:val="0"/>
                <w:numId w:val="22"/>
              </w:numPr>
              <w:rPr>
                <w:lang w:val="fr-FR"/>
              </w:rPr>
            </w:pPr>
            <w:r>
              <w:rPr>
                <w:lang w:val="fr-FR"/>
              </w:rPr>
              <w:t>Mise en œuvre du plan de travail</w:t>
            </w:r>
          </w:p>
          <w:p w14:paraId="696758B1" w14:textId="7B07C97D" w:rsidR="00834C72" w:rsidRPr="00BD3D80" w:rsidRDefault="00834C72" w:rsidP="008C325D">
            <w:pPr>
              <w:pStyle w:val="ListParagraph"/>
              <w:numPr>
                <w:ilvl w:val="0"/>
                <w:numId w:val="22"/>
              </w:numPr>
              <w:rPr>
                <w:lang w:val="fr-FR"/>
              </w:rPr>
            </w:pPr>
            <w:r>
              <w:rPr>
                <w:lang w:val="fr-FR"/>
              </w:rPr>
              <w:t xml:space="preserve">Les progrès réalisés par rapport au plan de travail sont systématiquement communiqués et enregistrés dans les plateformes </w:t>
            </w:r>
            <w:proofErr w:type="spellStart"/>
            <w:r>
              <w:rPr>
                <w:lang w:val="fr-FR"/>
              </w:rPr>
              <w:t>multiacteurs</w:t>
            </w:r>
            <w:proofErr w:type="spellEnd"/>
          </w:p>
          <w:p w14:paraId="77DA9AA9" w14:textId="77777777" w:rsidR="00834C72" w:rsidRPr="00BD3D80" w:rsidRDefault="00834C72" w:rsidP="008C325D">
            <w:pPr>
              <w:pStyle w:val="ListParagraph"/>
              <w:numPr>
                <w:ilvl w:val="0"/>
                <w:numId w:val="22"/>
              </w:numPr>
              <w:rPr>
                <w:lang w:val="fr-FR"/>
              </w:rPr>
            </w:pPr>
            <w:r>
              <w:rPr>
                <w:lang w:val="fr-FR"/>
              </w:rPr>
              <w:t>Participation des OSC à la réunion (toujours/quelques fois/jamais)</w:t>
            </w:r>
          </w:p>
          <w:p w14:paraId="46B3A11F" w14:textId="74C9A962" w:rsidR="00834C72" w:rsidRPr="00BD3D80" w:rsidRDefault="00834C72" w:rsidP="008C325D">
            <w:pPr>
              <w:pStyle w:val="ListParagraph"/>
              <w:numPr>
                <w:ilvl w:val="0"/>
                <w:numId w:val="22"/>
              </w:numPr>
              <w:rPr>
                <w:lang w:val="fr-FR"/>
              </w:rPr>
            </w:pPr>
            <w:r>
              <w:rPr>
                <w:lang w:val="fr-FR"/>
              </w:rPr>
              <w:t xml:space="preserve">Les recommandations/suggestions des OSC sont discutées et incluses dans les délibérations de la plateforme </w:t>
            </w:r>
            <w:proofErr w:type="spellStart"/>
            <w:r>
              <w:rPr>
                <w:lang w:val="fr-FR"/>
              </w:rPr>
              <w:t>multiacteurs</w:t>
            </w:r>
            <w:proofErr w:type="spellEnd"/>
          </w:p>
          <w:p w14:paraId="7792A7EF" w14:textId="2E3A06C9" w:rsidR="003C21FB" w:rsidRPr="00BD3D80" w:rsidRDefault="003C21FB" w:rsidP="008C325D">
            <w:pPr>
              <w:pStyle w:val="ListParagraph"/>
              <w:numPr>
                <w:ilvl w:val="0"/>
                <w:numId w:val="22"/>
              </w:numPr>
              <w:rPr>
                <w:lang w:val="fr-FR"/>
              </w:rPr>
            </w:pPr>
            <w:r>
              <w:rPr>
                <w:lang w:val="fr-FR"/>
              </w:rPr>
              <w:t>Des processus de conflits d</w:t>
            </w:r>
            <w:r w:rsidR="002C54BD">
              <w:rPr>
                <w:lang w:val="fr-FR"/>
              </w:rPr>
              <w:t>’</w:t>
            </w:r>
            <w:r>
              <w:rPr>
                <w:lang w:val="fr-FR"/>
              </w:rPr>
              <w:t>intérêts et de résolution des conflits sont en place et appliqués selon les besoins (informations tirées du point</w:t>
            </w:r>
            <w:r w:rsidR="002C54BD">
              <w:rPr>
                <w:lang w:val="fr-FR"/>
              </w:rPr>
              <w:t> </w:t>
            </w:r>
            <w:r>
              <w:rPr>
                <w:lang w:val="fr-FR"/>
              </w:rPr>
              <w:t>4.5.1 et de l</w:t>
            </w:r>
            <w:r w:rsidR="002C54BD">
              <w:rPr>
                <w:lang w:val="fr-FR"/>
              </w:rPr>
              <w:t>’</w:t>
            </w:r>
            <w:r>
              <w:rPr>
                <w:lang w:val="fr-FR"/>
              </w:rPr>
              <w:t>enquête annuelle)</w:t>
            </w:r>
          </w:p>
          <w:p w14:paraId="2D7FE392" w14:textId="302451CB" w:rsidR="003C21FB" w:rsidRPr="00BD3D80" w:rsidRDefault="003C21FB" w:rsidP="008C325D">
            <w:pPr>
              <w:pStyle w:val="ListParagraph"/>
              <w:numPr>
                <w:ilvl w:val="0"/>
                <w:numId w:val="22"/>
              </w:numPr>
              <w:rPr>
                <w:lang w:val="fr-FR"/>
              </w:rPr>
            </w:pPr>
            <w:r>
              <w:rPr>
                <w:lang w:val="fr-FR"/>
              </w:rPr>
              <w:t>Équilibre entre les sexes (H/F ou représentation des jeunes)</w:t>
            </w:r>
          </w:p>
          <w:p w14:paraId="7C62AED6" w14:textId="777400DF" w:rsidR="003C21FB" w:rsidRPr="00BD3D80" w:rsidRDefault="003C21FB" w:rsidP="008C325D">
            <w:pPr>
              <w:pStyle w:val="ListParagraph"/>
              <w:numPr>
                <w:ilvl w:val="0"/>
                <w:numId w:val="22"/>
              </w:numPr>
              <w:rPr>
                <w:lang w:val="fr-FR"/>
              </w:rPr>
            </w:pPr>
            <w:r>
              <w:rPr>
                <w:lang w:val="fr-FR"/>
              </w:rPr>
              <w:t xml:space="preserve">Mécanismes de </w:t>
            </w:r>
            <w:r w:rsidR="00C26CAB">
              <w:rPr>
                <w:lang w:val="fr-FR"/>
              </w:rPr>
              <w:t>redevabilité</w:t>
            </w:r>
            <w:r>
              <w:rPr>
                <w:lang w:val="fr-FR"/>
              </w:rPr>
              <w:t xml:space="preserve"> des plateformes </w:t>
            </w:r>
            <w:proofErr w:type="spellStart"/>
            <w:r>
              <w:rPr>
                <w:lang w:val="fr-FR"/>
              </w:rPr>
              <w:t>multiacteurs</w:t>
            </w:r>
            <w:proofErr w:type="spellEnd"/>
          </w:p>
          <w:p w14:paraId="235B0589" w14:textId="00737514" w:rsidR="00834C72" w:rsidRPr="00BD3D80" w:rsidRDefault="003C21FB" w:rsidP="005E526B">
            <w:pPr>
              <w:pStyle w:val="ListParagraph"/>
              <w:numPr>
                <w:ilvl w:val="0"/>
                <w:numId w:val="22"/>
              </w:numPr>
              <w:rPr>
                <w:lang w:val="fr-FR"/>
              </w:rPr>
            </w:pPr>
            <w:r>
              <w:rPr>
                <w:lang w:val="fr-FR"/>
              </w:rPr>
              <w:lastRenderedPageBreak/>
              <w:t>Environnement d</w:t>
            </w:r>
            <w:r w:rsidR="002C54BD">
              <w:rPr>
                <w:lang w:val="fr-FR"/>
              </w:rPr>
              <w:t>’</w:t>
            </w:r>
            <w:r>
              <w:rPr>
                <w:lang w:val="fr-FR"/>
              </w:rPr>
              <w:t xml:space="preserve">apprentissage – la </w:t>
            </w:r>
            <w:r w:rsidR="009E04D2">
              <w:rPr>
                <w:lang w:val="fr-FR"/>
              </w:rPr>
              <w:t>plateforme</w:t>
            </w:r>
            <w:r>
              <w:rPr>
                <w:lang w:val="fr-FR"/>
              </w:rPr>
              <w:t xml:space="preserve"> crée des possibilités de partage et d</w:t>
            </w:r>
            <w:r w:rsidR="002C54BD">
              <w:rPr>
                <w:lang w:val="fr-FR"/>
              </w:rPr>
              <w:t>’</w:t>
            </w:r>
            <w:r>
              <w:rPr>
                <w:lang w:val="fr-FR"/>
              </w:rPr>
              <w:t>apprentissage entre les parties prenantes</w:t>
            </w:r>
          </w:p>
        </w:tc>
      </w:tr>
    </w:tbl>
    <w:p w14:paraId="3F62A693" w14:textId="009E46E9" w:rsidR="00106C48" w:rsidRPr="00BD3D80" w:rsidRDefault="004F0AFC">
      <w:pPr>
        <w:rPr>
          <w:lang w:val="fr-FR"/>
        </w:rPr>
      </w:pPr>
      <w:r>
        <w:rPr>
          <w:lang w:val="fr-FR"/>
        </w:rPr>
        <w:lastRenderedPageBreak/>
        <w:t>*Veuillez noter que les indices sont en cours de révision et d</w:t>
      </w:r>
      <w:r w:rsidR="002C54BD">
        <w:rPr>
          <w:lang w:val="fr-FR"/>
        </w:rPr>
        <w:t>’</w:t>
      </w:r>
      <w:r>
        <w:rPr>
          <w:lang w:val="fr-FR"/>
        </w:rPr>
        <w:t>élaboration, vos commentaires seront très appréciés. Pour l</w:t>
      </w:r>
      <w:r w:rsidR="002C54BD">
        <w:rPr>
          <w:lang w:val="fr-FR"/>
        </w:rPr>
        <w:t>’</w:t>
      </w:r>
      <w:r>
        <w:rPr>
          <w:lang w:val="fr-FR"/>
        </w:rPr>
        <w:t xml:space="preserve">instant, veuillez sélectionner les paramètres que vous souhaitez utiliser pour votre indice (gouvernance et fonctionnalité des plateformes </w:t>
      </w:r>
      <w:proofErr w:type="spellStart"/>
      <w:r>
        <w:rPr>
          <w:lang w:val="fr-FR"/>
        </w:rPr>
        <w:t>multiacteurs</w:t>
      </w:r>
      <w:proofErr w:type="spellEnd"/>
      <w:r>
        <w:rPr>
          <w:lang w:val="fr-FR"/>
        </w:rPr>
        <w:t xml:space="preserve"> – veuillez noter que l</w:t>
      </w:r>
      <w:r w:rsidR="002C54BD">
        <w:rPr>
          <w:lang w:val="fr-FR"/>
        </w:rPr>
        <w:t>’</w:t>
      </w:r>
      <w:r>
        <w:rPr>
          <w:lang w:val="fr-FR"/>
        </w:rPr>
        <w:t>indice de fonctionnalité est fixe pour l</w:t>
      </w:r>
      <w:r w:rsidR="002C54BD">
        <w:rPr>
          <w:lang w:val="fr-FR"/>
        </w:rPr>
        <w:t>’</w:t>
      </w:r>
      <w:r>
        <w:rPr>
          <w:lang w:val="fr-FR"/>
        </w:rPr>
        <w:t>instant</w:t>
      </w:r>
      <w:r w:rsidR="002C54BD">
        <w:rPr>
          <w:lang w:val="fr-FR"/>
        </w:rPr>
        <w:t> </w:t>
      </w:r>
      <w:r>
        <w:rPr>
          <w:lang w:val="fr-FR"/>
        </w:rPr>
        <w:t>; tous les paramètres sont obligatoires)</w:t>
      </w:r>
      <w:r w:rsidR="009E04D2">
        <w:rPr>
          <w:lang w:val="fr-FR"/>
        </w:rPr>
        <w:t>.</w:t>
      </w:r>
    </w:p>
    <w:sectPr w:rsidR="00106C48" w:rsidRPr="00BD3D80" w:rsidSect="005D6077">
      <w:pgSz w:w="11906" w:h="16838"/>
      <w:pgMar w:top="1440" w:right="1440" w:bottom="993"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5A2BD" w16cex:dateUtc="2020-04-06T11:44:00Z"/>
  <w16cex:commentExtensible w16cex:durableId="2235A352" w16cex:dateUtc="2020-04-06T11:47:00Z"/>
  <w16cex:commentExtensible w16cex:durableId="2235A3D0" w16cex:dateUtc="2020-04-06T11:49:00Z"/>
  <w16cex:commentExtensible w16cex:durableId="2235A6CD" w16cex:dateUtc="2020-04-06T12: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3B123" w14:textId="77777777" w:rsidR="00F309DD" w:rsidRDefault="00F309DD" w:rsidP="00E07158">
      <w:pPr>
        <w:spacing w:after="0" w:line="240" w:lineRule="auto"/>
      </w:pPr>
      <w:r>
        <w:separator/>
      </w:r>
    </w:p>
  </w:endnote>
  <w:endnote w:type="continuationSeparator" w:id="0">
    <w:p w14:paraId="773D2893" w14:textId="77777777" w:rsidR="00F309DD" w:rsidRDefault="00F309DD" w:rsidP="00E0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464A" w14:textId="77777777" w:rsidR="002C54BD" w:rsidRDefault="002C5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115324"/>
      <w:docPartObj>
        <w:docPartGallery w:val="Page Numbers (Bottom of Page)"/>
        <w:docPartUnique/>
      </w:docPartObj>
    </w:sdtPr>
    <w:sdtEndPr>
      <w:rPr>
        <w:color w:val="7F7F7F" w:themeColor="background1" w:themeShade="7F"/>
        <w:spacing w:val="60"/>
      </w:rPr>
    </w:sdtEndPr>
    <w:sdtContent>
      <w:p w14:paraId="3F488DA3" w14:textId="71701F0F" w:rsidR="002C54BD" w:rsidRDefault="002C54BD">
        <w:pPr>
          <w:pStyle w:val="Footer"/>
          <w:pBdr>
            <w:top w:val="single" w:sz="4" w:space="1" w:color="D9D9D9" w:themeColor="background1" w:themeShade="D9"/>
          </w:pBdr>
          <w:rPr>
            <w:b/>
            <w:bCs/>
          </w:rPr>
        </w:pPr>
        <w:r>
          <w:rPr>
            <w:lang w:val="fr-FR"/>
          </w:rPr>
          <w:fldChar w:fldCharType="begin"/>
        </w:r>
        <w:r>
          <w:rPr>
            <w:lang w:val="fr-FR"/>
          </w:rPr>
          <w:instrText xml:space="preserve"> PAGE   \* MERGEFORMAT </w:instrText>
        </w:r>
        <w:r>
          <w:rPr>
            <w:lang w:val="fr-FR"/>
          </w:rPr>
          <w:fldChar w:fldCharType="separate"/>
        </w:r>
        <w:r>
          <w:rPr>
            <w:b/>
            <w:bCs/>
            <w:noProof/>
            <w:lang w:val="fr-FR"/>
          </w:rPr>
          <w:t>2</w:t>
        </w:r>
        <w:r>
          <w:rPr>
            <w:b/>
            <w:bCs/>
            <w:noProof/>
            <w:lang w:val="fr-FR"/>
          </w:rPr>
          <w:fldChar w:fldCharType="end"/>
        </w:r>
        <w:r>
          <w:rPr>
            <w:b/>
            <w:bCs/>
            <w:lang w:val="fr-FR"/>
          </w:rPr>
          <w:t xml:space="preserve"> | </w:t>
        </w:r>
        <w:r>
          <w:rPr>
            <w:color w:val="7F7F7F" w:themeColor="background1" w:themeShade="7F"/>
            <w:lang w:val="fr-FR"/>
          </w:rPr>
          <w:t>Page</w:t>
        </w:r>
      </w:p>
    </w:sdtContent>
  </w:sdt>
  <w:p w14:paraId="329814B1" w14:textId="77777777" w:rsidR="002C54BD" w:rsidRDefault="002C5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E618" w14:textId="77777777" w:rsidR="002C54BD" w:rsidRDefault="002C5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B8FD6" w14:textId="77777777" w:rsidR="00F309DD" w:rsidRDefault="00F309DD" w:rsidP="00E07158">
      <w:pPr>
        <w:spacing w:after="0" w:line="240" w:lineRule="auto"/>
      </w:pPr>
      <w:r>
        <w:separator/>
      </w:r>
    </w:p>
  </w:footnote>
  <w:footnote w:type="continuationSeparator" w:id="0">
    <w:p w14:paraId="1218BD43" w14:textId="77777777" w:rsidR="00F309DD" w:rsidRDefault="00F309DD" w:rsidP="00E07158">
      <w:pPr>
        <w:spacing w:after="0" w:line="240" w:lineRule="auto"/>
      </w:pPr>
      <w:r>
        <w:continuationSeparator/>
      </w:r>
    </w:p>
  </w:footnote>
  <w:footnote w:id="1">
    <w:p w14:paraId="57B88EF7" w14:textId="2CE2ADA4" w:rsidR="002C54BD" w:rsidRPr="00BD3D80" w:rsidRDefault="00880085" w:rsidP="000759DD">
      <w:pPr>
        <w:pStyle w:val="FootnoteText"/>
        <w:rPr>
          <w:lang w:val="fr-FR"/>
        </w:rPr>
      </w:pPr>
      <w:hyperlink r:id="rId1" w:history="1">
        <w:r w:rsidR="002C54BD" w:rsidRPr="00880085">
          <w:rPr>
            <w:rStyle w:val="Hyperlink"/>
            <w:vertAlign w:val="superscript"/>
            <w:lang w:val="fr-FR"/>
          </w:rPr>
          <w:footnoteRef/>
        </w:r>
        <w:r w:rsidR="002C54BD" w:rsidRPr="00880085">
          <w:rPr>
            <w:rStyle w:val="Hyperlink"/>
            <w:lang w:val="fr-FR"/>
          </w:rPr>
          <w:t>Lien vers des conseils pour</w:t>
        </w:r>
      </w:hyperlink>
      <w:bookmarkStart w:id="1" w:name="_GoBack"/>
      <w:bookmarkEnd w:id="1"/>
      <w:r w:rsidR="002C54BD" w:rsidRPr="00880085">
        <w:rPr>
          <w:lang w:val="fr-FR"/>
        </w:rPr>
        <w:t xml:space="preserve"> élaborer la théorie du changement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9F01" w14:textId="77777777" w:rsidR="002C54BD" w:rsidRDefault="002C5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E7594" w14:textId="77777777" w:rsidR="002C54BD" w:rsidRDefault="002C5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FFA0" w14:textId="77777777" w:rsidR="002C54BD" w:rsidRDefault="002C5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3079"/>
    <w:multiLevelType w:val="hybridMultilevel"/>
    <w:tmpl w:val="874C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D0C"/>
    <w:multiLevelType w:val="hybridMultilevel"/>
    <w:tmpl w:val="9038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36439"/>
    <w:multiLevelType w:val="hybridMultilevel"/>
    <w:tmpl w:val="B37C469E"/>
    <w:lvl w:ilvl="0" w:tplc="FF96C37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2139B"/>
    <w:multiLevelType w:val="hybridMultilevel"/>
    <w:tmpl w:val="0C489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56DD7"/>
    <w:multiLevelType w:val="hybridMultilevel"/>
    <w:tmpl w:val="2A767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33C88"/>
    <w:multiLevelType w:val="hybridMultilevel"/>
    <w:tmpl w:val="F2F6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F75E1"/>
    <w:multiLevelType w:val="hybridMultilevel"/>
    <w:tmpl w:val="0CB28D46"/>
    <w:lvl w:ilvl="0" w:tplc="0F908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43BC9"/>
    <w:multiLevelType w:val="hybridMultilevel"/>
    <w:tmpl w:val="FFB0AAC6"/>
    <w:lvl w:ilvl="0" w:tplc="9556928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7F274F"/>
    <w:multiLevelType w:val="hybridMultilevel"/>
    <w:tmpl w:val="13EC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594"/>
    <w:multiLevelType w:val="hybridMultilevel"/>
    <w:tmpl w:val="6F84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95C78"/>
    <w:multiLevelType w:val="hybridMultilevel"/>
    <w:tmpl w:val="6746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F6516"/>
    <w:multiLevelType w:val="hybridMultilevel"/>
    <w:tmpl w:val="09D22358"/>
    <w:lvl w:ilvl="0" w:tplc="0F908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178A0"/>
    <w:multiLevelType w:val="hybridMultilevel"/>
    <w:tmpl w:val="B7F60A7A"/>
    <w:lvl w:ilvl="0" w:tplc="0F908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8365C"/>
    <w:multiLevelType w:val="hybridMultilevel"/>
    <w:tmpl w:val="3D5E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41B13"/>
    <w:multiLevelType w:val="hybridMultilevel"/>
    <w:tmpl w:val="EF426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B1567C"/>
    <w:multiLevelType w:val="hybridMultilevel"/>
    <w:tmpl w:val="3ED2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66462"/>
    <w:multiLevelType w:val="hybridMultilevel"/>
    <w:tmpl w:val="7FEE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137861"/>
    <w:multiLevelType w:val="hybridMultilevel"/>
    <w:tmpl w:val="0BA4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837FC"/>
    <w:multiLevelType w:val="hybridMultilevel"/>
    <w:tmpl w:val="5E7A0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487433"/>
    <w:multiLevelType w:val="hybridMultilevel"/>
    <w:tmpl w:val="8A961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5C4F25"/>
    <w:multiLevelType w:val="hybridMultilevel"/>
    <w:tmpl w:val="BE789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875059"/>
    <w:multiLevelType w:val="hybridMultilevel"/>
    <w:tmpl w:val="99D86024"/>
    <w:lvl w:ilvl="0" w:tplc="C7A225FC">
      <w:start w:val="1"/>
      <w:numFmt w:val="decimal"/>
      <w:lvlText w:val="%1)"/>
      <w:lvlJc w:val="left"/>
      <w:pPr>
        <w:ind w:left="237" w:hanging="360"/>
      </w:pPr>
      <w:rPr>
        <w:rFonts w:hint="default"/>
        <w:b w:val="0"/>
      </w:rPr>
    </w:lvl>
    <w:lvl w:ilvl="1" w:tplc="08090019" w:tentative="1">
      <w:start w:val="1"/>
      <w:numFmt w:val="lowerLetter"/>
      <w:lvlText w:val="%2."/>
      <w:lvlJc w:val="left"/>
      <w:pPr>
        <w:ind w:left="957" w:hanging="360"/>
      </w:pPr>
    </w:lvl>
    <w:lvl w:ilvl="2" w:tplc="0809001B" w:tentative="1">
      <w:start w:val="1"/>
      <w:numFmt w:val="lowerRoman"/>
      <w:lvlText w:val="%3."/>
      <w:lvlJc w:val="right"/>
      <w:pPr>
        <w:ind w:left="1677" w:hanging="180"/>
      </w:pPr>
    </w:lvl>
    <w:lvl w:ilvl="3" w:tplc="0809000F" w:tentative="1">
      <w:start w:val="1"/>
      <w:numFmt w:val="decimal"/>
      <w:lvlText w:val="%4."/>
      <w:lvlJc w:val="left"/>
      <w:pPr>
        <w:ind w:left="2397" w:hanging="360"/>
      </w:pPr>
    </w:lvl>
    <w:lvl w:ilvl="4" w:tplc="08090019" w:tentative="1">
      <w:start w:val="1"/>
      <w:numFmt w:val="lowerLetter"/>
      <w:lvlText w:val="%5."/>
      <w:lvlJc w:val="left"/>
      <w:pPr>
        <w:ind w:left="3117" w:hanging="360"/>
      </w:pPr>
    </w:lvl>
    <w:lvl w:ilvl="5" w:tplc="0809001B" w:tentative="1">
      <w:start w:val="1"/>
      <w:numFmt w:val="lowerRoman"/>
      <w:lvlText w:val="%6."/>
      <w:lvlJc w:val="right"/>
      <w:pPr>
        <w:ind w:left="3837" w:hanging="180"/>
      </w:pPr>
    </w:lvl>
    <w:lvl w:ilvl="6" w:tplc="0809000F" w:tentative="1">
      <w:start w:val="1"/>
      <w:numFmt w:val="decimal"/>
      <w:lvlText w:val="%7."/>
      <w:lvlJc w:val="left"/>
      <w:pPr>
        <w:ind w:left="4557" w:hanging="360"/>
      </w:pPr>
    </w:lvl>
    <w:lvl w:ilvl="7" w:tplc="08090019" w:tentative="1">
      <w:start w:val="1"/>
      <w:numFmt w:val="lowerLetter"/>
      <w:lvlText w:val="%8."/>
      <w:lvlJc w:val="left"/>
      <w:pPr>
        <w:ind w:left="5277" w:hanging="360"/>
      </w:pPr>
    </w:lvl>
    <w:lvl w:ilvl="8" w:tplc="0809001B" w:tentative="1">
      <w:start w:val="1"/>
      <w:numFmt w:val="lowerRoman"/>
      <w:lvlText w:val="%9."/>
      <w:lvlJc w:val="right"/>
      <w:pPr>
        <w:ind w:left="5997" w:hanging="180"/>
      </w:pPr>
    </w:lvl>
  </w:abstractNum>
  <w:abstractNum w:abstractNumId="22" w15:restartNumberingAfterBreak="0">
    <w:nsid w:val="699A057D"/>
    <w:multiLevelType w:val="hybridMultilevel"/>
    <w:tmpl w:val="6AA22232"/>
    <w:lvl w:ilvl="0" w:tplc="0F908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A42483"/>
    <w:multiLevelType w:val="hybridMultilevel"/>
    <w:tmpl w:val="D15AF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D92F8E"/>
    <w:multiLevelType w:val="hybridMultilevel"/>
    <w:tmpl w:val="1D547860"/>
    <w:lvl w:ilvl="0" w:tplc="F0326DE2">
      <w:start w:val="3"/>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D5133"/>
    <w:multiLevelType w:val="hybridMultilevel"/>
    <w:tmpl w:val="C616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A62AC3"/>
    <w:multiLevelType w:val="hybridMultilevel"/>
    <w:tmpl w:val="8A22C0F0"/>
    <w:lvl w:ilvl="0" w:tplc="0F908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806E7"/>
    <w:multiLevelType w:val="hybridMultilevel"/>
    <w:tmpl w:val="F3C0BD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1762BC"/>
    <w:multiLevelType w:val="hybridMultilevel"/>
    <w:tmpl w:val="1D26C3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5"/>
  </w:num>
  <w:num w:numId="4">
    <w:abstractNumId w:val="18"/>
  </w:num>
  <w:num w:numId="5">
    <w:abstractNumId w:val="23"/>
  </w:num>
  <w:num w:numId="6">
    <w:abstractNumId w:val="19"/>
  </w:num>
  <w:num w:numId="7">
    <w:abstractNumId w:val="27"/>
  </w:num>
  <w:num w:numId="8">
    <w:abstractNumId w:val="0"/>
  </w:num>
  <w:num w:numId="9">
    <w:abstractNumId w:val="1"/>
  </w:num>
  <w:num w:numId="10">
    <w:abstractNumId w:val="5"/>
  </w:num>
  <w:num w:numId="11">
    <w:abstractNumId w:val="17"/>
  </w:num>
  <w:num w:numId="12">
    <w:abstractNumId w:val="25"/>
  </w:num>
  <w:num w:numId="13">
    <w:abstractNumId w:val="8"/>
  </w:num>
  <w:num w:numId="14">
    <w:abstractNumId w:val="16"/>
  </w:num>
  <w:num w:numId="15">
    <w:abstractNumId w:val="2"/>
  </w:num>
  <w:num w:numId="16">
    <w:abstractNumId w:val="28"/>
  </w:num>
  <w:num w:numId="17">
    <w:abstractNumId w:val="9"/>
  </w:num>
  <w:num w:numId="18">
    <w:abstractNumId w:val="22"/>
  </w:num>
  <w:num w:numId="19">
    <w:abstractNumId w:val="11"/>
  </w:num>
  <w:num w:numId="20">
    <w:abstractNumId w:val="6"/>
  </w:num>
  <w:num w:numId="21">
    <w:abstractNumId w:val="26"/>
  </w:num>
  <w:num w:numId="22">
    <w:abstractNumId w:val="12"/>
  </w:num>
  <w:num w:numId="23">
    <w:abstractNumId w:val="20"/>
  </w:num>
  <w:num w:numId="24">
    <w:abstractNumId w:val="10"/>
  </w:num>
  <w:num w:numId="25">
    <w:abstractNumId w:val="21"/>
  </w:num>
  <w:num w:numId="26">
    <w:abstractNumId w:val="24"/>
  </w:num>
  <w:num w:numId="27">
    <w:abstractNumId w:val="7"/>
  </w:num>
  <w:num w:numId="28">
    <w:abstractNumId w:val="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6E"/>
    <w:rsid w:val="00007647"/>
    <w:rsid w:val="0000772E"/>
    <w:rsid w:val="00011C3C"/>
    <w:rsid w:val="000147BE"/>
    <w:rsid w:val="00017D9C"/>
    <w:rsid w:val="00020220"/>
    <w:rsid w:val="000204BE"/>
    <w:rsid w:val="00020732"/>
    <w:rsid w:val="00031EEC"/>
    <w:rsid w:val="000360D1"/>
    <w:rsid w:val="000360D3"/>
    <w:rsid w:val="00043F9D"/>
    <w:rsid w:val="00046790"/>
    <w:rsid w:val="00046BAA"/>
    <w:rsid w:val="000651E2"/>
    <w:rsid w:val="00066DA1"/>
    <w:rsid w:val="00070377"/>
    <w:rsid w:val="00070A45"/>
    <w:rsid w:val="000719AF"/>
    <w:rsid w:val="00075914"/>
    <w:rsid w:val="000759DD"/>
    <w:rsid w:val="00081103"/>
    <w:rsid w:val="00093930"/>
    <w:rsid w:val="000948C1"/>
    <w:rsid w:val="000A49E6"/>
    <w:rsid w:val="000B0DE8"/>
    <w:rsid w:val="000B1B8A"/>
    <w:rsid w:val="000B2EB1"/>
    <w:rsid w:val="000B5930"/>
    <w:rsid w:val="000B6A72"/>
    <w:rsid w:val="000C0FCB"/>
    <w:rsid w:val="000C4BDF"/>
    <w:rsid w:val="000C6067"/>
    <w:rsid w:val="000D7114"/>
    <w:rsid w:val="00105120"/>
    <w:rsid w:val="00106C48"/>
    <w:rsid w:val="00107B08"/>
    <w:rsid w:val="00117698"/>
    <w:rsid w:val="001329F3"/>
    <w:rsid w:val="00147CCD"/>
    <w:rsid w:val="00151E80"/>
    <w:rsid w:val="00152B12"/>
    <w:rsid w:val="00154886"/>
    <w:rsid w:val="00162405"/>
    <w:rsid w:val="00163071"/>
    <w:rsid w:val="001634E2"/>
    <w:rsid w:val="00170B05"/>
    <w:rsid w:val="001717F9"/>
    <w:rsid w:val="001759F7"/>
    <w:rsid w:val="00181918"/>
    <w:rsid w:val="00182385"/>
    <w:rsid w:val="00192A55"/>
    <w:rsid w:val="0019700E"/>
    <w:rsid w:val="001A3B0A"/>
    <w:rsid w:val="001A45E3"/>
    <w:rsid w:val="001C136D"/>
    <w:rsid w:val="001C530D"/>
    <w:rsid w:val="001D4568"/>
    <w:rsid w:val="001E21BD"/>
    <w:rsid w:val="001E76D4"/>
    <w:rsid w:val="001F0089"/>
    <w:rsid w:val="001F1F7A"/>
    <w:rsid w:val="002013D5"/>
    <w:rsid w:val="002021C3"/>
    <w:rsid w:val="002051AC"/>
    <w:rsid w:val="00205980"/>
    <w:rsid w:val="00227D29"/>
    <w:rsid w:val="0023492A"/>
    <w:rsid w:val="00243D28"/>
    <w:rsid w:val="002443C8"/>
    <w:rsid w:val="00250A20"/>
    <w:rsid w:val="0027765E"/>
    <w:rsid w:val="002825E4"/>
    <w:rsid w:val="00282BA7"/>
    <w:rsid w:val="00286E90"/>
    <w:rsid w:val="002933BE"/>
    <w:rsid w:val="0029519C"/>
    <w:rsid w:val="0029661A"/>
    <w:rsid w:val="0029680E"/>
    <w:rsid w:val="002A10DE"/>
    <w:rsid w:val="002A33FC"/>
    <w:rsid w:val="002A3A86"/>
    <w:rsid w:val="002B14B1"/>
    <w:rsid w:val="002B2528"/>
    <w:rsid w:val="002B6B49"/>
    <w:rsid w:val="002C2662"/>
    <w:rsid w:val="002C3674"/>
    <w:rsid w:val="002C54BD"/>
    <w:rsid w:val="002E37CA"/>
    <w:rsid w:val="002E46CD"/>
    <w:rsid w:val="002F011A"/>
    <w:rsid w:val="002F078B"/>
    <w:rsid w:val="002F1D5D"/>
    <w:rsid w:val="00304505"/>
    <w:rsid w:val="00305E63"/>
    <w:rsid w:val="00307932"/>
    <w:rsid w:val="00311863"/>
    <w:rsid w:val="00317BFC"/>
    <w:rsid w:val="00325D8D"/>
    <w:rsid w:val="003275B5"/>
    <w:rsid w:val="00330911"/>
    <w:rsid w:val="00336F9A"/>
    <w:rsid w:val="00342F08"/>
    <w:rsid w:val="00347CA5"/>
    <w:rsid w:val="00347DFD"/>
    <w:rsid w:val="00350EE9"/>
    <w:rsid w:val="00354CE4"/>
    <w:rsid w:val="003718B6"/>
    <w:rsid w:val="003745A3"/>
    <w:rsid w:val="003762E2"/>
    <w:rsid w:val="00377D1E"/>
    <w:rsid w:val="00384938"/>
    <w:rsid w:val="0039672B"/>
    <w:rsid w:val="003967FC"/>
    <w:rsid w:val="003A33BA"/>
    <w:rsid w:val="003A4B2F"/>
    <w:rsid w:val="003A54C0"/>
    <w:rsid w:val="003A6328"/>
    <w:rsid w:val="003A6AED"/>
    <w:rsid w:val="003B07DC"/>
    <w:rsid w:val="003B1E1C"/>
    <w:rsid w:val="003B206C"/>
    <w:rsid w:val="003B4744"/>
    <w:rsid w:val="003C203B"/>
    <w:rsid w:val="003C21FB"/>
    <w:rsid w:val="003D1EE0"/>
    <w:rsid w:val="003D2FB5"/>
    <w:rsid w:val="003D7403"/>
    <w:rsid w:val="003E2A20"/>
    <w:rsid w:val="004005F1"/>
    <w:rsid w:val="00401E46"/>
    <w:rsid w:val="00412475"/>
    <w:rsid w:val="004147E9"/>
    <w:rsid w:val="00420472"/>
    <w:rsid w:val="00431119"/>
    <w:rsid w:val="00452439"/>
    <w:rsid w:val="0045616E"/>
    <w:rsid w:val="0045637C"/>
    <w:rsid w:val="004608E6"/>
    <w:rsid w:val="00463774"/>
    <w:rsid w:val="0046710A"/>
    <w:rsid w:val="00472D37"/>
    <w:rsid w:val="00473CE9"/>
    <w:rsid w:val="00494AFF"/>
    <w:rsid w:val="00494D47"/>
    <w:rsid w:val="00496FB9"/>
    <w:rsid w:val="004A0601"/>
    <w:rsid w:val="004B061C"/>
    <w:rsid w:val="004B114A"/>
    <w:rsid w:val="004B1A8E"/>
    <w:rsid w:val="004B4A70"/>
    <w:rsid w:val="004C1D98"/>
    <w:rsid w:val="004C32B6"/>
    <w:rsid w:val="004E49A9"/>
    <w:rsid w:val="004E72B7"/>
    <w:rsid w:val="004F0AFC"/>
    <w:rsid w:val="004F30B2"/>
    <w:rsid w:val="004F65EB"/>
    <w:rsid w:val="00500383"/>
    <w:rsid w:val="00506A73"/>
    <w:rsid w:val="00506B85"/>
    <w:rsid w:val="005135AC"/>
    <w:rsid w:val="00523294"/>
    <w:rsid w:val="00523BEC"/>
    <w:rsid w:val="005244D2"/>
    <w:rsid w:val="005404AD"/>
    <w:rsid w:val="005404AE"/>
    <w:rsid w:val="005415D4"/>
    <w:rsid w:val="0054161B"/>
    <w:rsid w:val="005441EA"/>
    <w:rsid w:val="005507A8"/>
    <w:rsid w:val="005523CD"/>
    <w:rsid w:val="00561567"/>
    <w:rsid w:val="005655B6"/>
    <w:rsid w:val="00566403"/>
    <w:rsid w:val="00580D02"/>
    <w:rsid w:val="00587D8D"/>
    <w:rsid w:val="00590988"/>
    <w:rsid w:val="00593291"/>
    <w:rsid w:val="00594637"/>
    <w:rsid w:val="005959F5"/>
    <w:rsid w:val="005A3086"/>
    <w:rsid w:val="005B02CF"/>
    <w:rsid w:val="005B0D9F"/>
    <w:rsid w:val="005B1228"/>
    <w:rsid w:val="005C619D"/>
    <w:rsid w:val="005C7C58"/>
    <w:rsid w:val="005D237E"/>
    <w:rsid w:val="005D6077"/>
    <w:rsid w:val="005E526B"/>
    <w:rsid w:val="005E695A"/>
    <w:rsid w:val="005E752C"/>
    <w:rsid w:val="005F1481"/>
    <w:rsid w:val="005F27FA"/>
    <w:rsid w:val="005F2DD3"/>
    <w:rsid w:val="005F40C9"/>
    <w:rsid w:val="00601FF3"/>
    <w:rsid w:val="0060222F"/>
    <w:rsid w:val="00613118"/>
    <w:rsid w:val="00614EC4"/>
    <w:rsid w:val="00624112"/>
    <w:rsid w:val="006246C6"/>
    <w:rsid w:val="00624CC4"/>
    <w:rsid w:val="00630C28"/>
    <w:rsid w:val="006361D3"/>
    <w:rsid w:val="00644914"/>
    <w:rsid w:val="00644F77"/>
    <w:rsid w:val="00645FCB"/>
    <w:rsid w:val="0065140B"/>
    <w:rsid w:val="006555B5"/>
    <w:rsid w:val="00665105"/>
    <w:rsid w:val="00670294"/>
    <w:rsid w:val="00676958"/>
    <w:rsid w:val="00676F66"/>
    <w:rsid w:val="00680559"/>
    <w:rsid w:val="006938D1"/>
    <w:rsid w:val="006A2C3A"/>
    <w:rsid w:val="006B678A"/>
    <w:rsid w:val="006C3018"/>
    <w:rsid w:val="006C6AF4"/>
    <w:rsid w:val="006D0416"/>
    <w:rsid w:val="006D73D9"/>
    <w:rsid w:val="006E0266"/>
    <w:rsid w:val="006F1D91"/>
    <w:rsid w:val="006F720A"/>
    <w:rsid w:val="00701C07"/>
    <w:rsid w:val="0070233E"/>
    <w:rsid w:val="007063B3"/>
    <w:rsid w:val="00713FDA"/>
    <w:rsid w:val="0071544E"/>
    <w:rsid w:val="00715F93"/>
    <w:rsid w:val="00716DEB"/>
    <w:rsid w:val="00720B60"/>
    <w:rsid w:val="007236BE"/>
    <w:rsid w:val="00733D1B"/>
    <w:rsid w:val="00736EDB"/>
    <w:rsid w:val="00746B54"/>
    <w:rsid w:val="00747809"/>
    <w:rsid w:val="007500B9"/>
    <w:rsid w:val="00750E8A"/>
    <w:rsid w:val="00757ED6"/>
    <w:rsid w:val="00760003"/>
    <w:rsid w:val="0076783B"/>
    <w:rsid w:val="00777538"/>
    <w:rsid w:val="00780AB3"/>
    <w:rsid w:val="00782D7D"/>
    <w:rsid w:val="00784744"/>
    <w:rsid w:val="00785E6C"/>
    <w:rsid w:val="00786C00"/>
    <w:rsid w:val="007875F2"/>
    <w:rsid w:val="007A5F83"/>
    <w:rsid w:val="007B586D"/>
    <w:rsid w:val="007B7536"/>
    <w:rsid w:val="007D0F93"/>
    <w:rsid w:val="007F51C4"/>
    <w:rsid w:val="00803B4E"/>
    <w:rsid w:val="00810F4A"/>
    <w:rsid w:val="00814230"/>
    <w:rsid w:val="008238AF"/>
    <w:rsid w:val="00827251"/>
    <w:rsid w:val="00834C72"/>
    <w:rsid w:val="00860DD1"/>
    <w:rsid w:val="008656AD"/>
    <w:rsid w:val="00866402"/>
    <w:rsid w:val="00873427"/>
    <w:rsid w:val="008752FE"/>
    <w:rsid w:val="00880085"/>
    <w:rsid w:val="00881620"/>
    <w:rsid w:val="008843EE"/>
    <w:rsid w:val="008A4F7F"/>
    <w:rsid w:val="008B71D1"/>
    <w:rsid w:val="008C20CA"/>
    <w:rsid w:val="008C325D"/>
    <w:rsid w:val="008C74AA"/>
    <w:rsid w:val="008D00A6"/>
    <w:rsid w:val="008D467A"/>
    <w:rsid w:val="008F2AF4"/>
    <w:rsid w:val="008F6F6E"/>
    <w:rsid w:val="008F75FE"/>
    <w:rsid w:val="009036A0"/>
    <w:rsid w:val="009072DD"/>
    <w:rsid w:val="00910CC1"/>
    <w:rsid w:val="00914132"/>
    <w:rsid w:val="00915041"/>
    <w:rsid w:val="00916CA5"/>
    <w:rsid w:val="00924821"/>
    <w:rsid w:val="009340F1"/>
    <w:rsid w:val="009365E8"/>
    <w:rsid w:val="00944C9C"/>
    <w:rsid w:val="00945DEB"/>
    <w:rsid w:val="00946626"/>
    <w:rsid w:val="00950547"/>
    <w:rsid w:val="0097060C"/>
    <w:rsid w:val="00972551"/>
    <w:rsid w:val="0097460E"/>
    <w:rsid w:val="00974F5A"/>
    <w:rsid w:val="00983D1F"/>
    <w:rsid w:val="0099382A"/>
    <w:rsid w:val="00997566"/>
    <w:rsid w:val="009A491B"/>
    <w:rsid w:val="009A4E5F"/>
    <w:rsid w:val="009A526E"/>
    <w:rsid w:val="009B1871"/>
    <w:rsid w:val="009C0C7F"/>
    <w:rsid w:val="009C6F18"/>
    <w:rsid w:val="009D2E9C"/>
    <w:rsid w:val="009D5169"/>
    <w:rsid w:val="009E04D2"/>
    <w:rsid w:val="009F0A36"/>
    <w:rsid w:val="00A053DF"/>
    <w:rsid w:val="00A11707"/>
    <w:rsid w:val="00A27FF0"/>
    <w:rsid w:val="00A30EAD"/>
    <w:rsid w:val="00A34358"/>
    <w:rsid w:val="00A448ED"/>
    <w:rsid w:val="00A505AE"/>
    <w:rsid w:val="00A50BFA"/>
    <w:rsid w:val="00A55A65"/>
    <w:rsid w:val="00A64AA2"/>
    <w:rsid w:val="00A6505F"/>
    <w:rsid w:val="00A85099"/>
    <w:rsid w:val="00A94EED"/>
    <w:rsid w:val="00A9706F"/>
    <w:rsid w:val="00AB114A"/>
    <w:rsid w:val="00AB4B3E"/>
    <w:rsid w:val="00AB7ECF"/>
    <w:rsid w:val="00AC6EDD"/>
    <w:rsid w:val="00AD4300"/>
    <w:rsid w:val="00AD7C8C"/>
    <w:rsid w:val="00AE06A6"/>
    <w:rsid w:val="00AE63DD"/>
    <w:rsid w:val="00AF071B"/>
    <w:rsid w:val="00AF0D3A"/>
    <w:rsid w:val="00AF2122"/>
    <w:rsid w:val="00AF221E"/>
    <w:rsid w:val="00B0129F"/>
    <w:rsid w:val="00B03CBE"/>
    <w:rsid w:val="00B07840"/>
    <w:rsid w:val="00B1132F"/>
    <w:rsid w:val="00B15D0B"/>
    <w:rsid w:val="00B16D51"/>
    <w:rsid w:val="00B17E72"/>
    <w:rsid w:val="00B2213C"/>
    <w:rsid w:val="00B257DD"/>
    <w:rsid w:val="00B41EB5"/>
    <w:rsid w:val="00B500EF"/>
    <w:rsid w:val="00B51B60"/>
    <w:rsid w:val="00B51FCA"/>
    <w:rsid w:val="00B53EAE"/>
    <w:rsid w:val="00B60196"/>
    <w:rsid w:val="00B61176"/>
    <w:rsid w:val="00B64C9C"/>
    <w:rsid w:val="00B817DB"/>
    <w:rsid w:val="00B9497C"/>
    <w:rsid w:val="00B959A2"/>
    <w:rsid w:val="00B96097"/>
    <w:rsid w:val="00B97680"/>
    <w:rsid w:val="00BA3A65"/>
    <w:rsid w:val="00BA3DB1"/>
    <w:rsid w:val="00BB74DB"/>
    <w:rsid w:val="00BC66AD"/>
    <w:rsid w:val="00BD3D80"/>
    <w:rsid w:val="00BD7077"/>
    <w:rsid w:val="00BF12DB"/>
    <w:rsid w:val="00BF7BD9"/>
    <w:rsid w:val="00C03782"/>
    <w:rsid w:val="00C04AE8"/>
    <w:rsid w:val="00C05410"/>
    <w:rsid w:val="00C05D41"/>
    <w:rsid w:val="00C10A39"/>
    <w:rsid w:val="00C1248D"/>
    <w:rsid w:val="00C12F02"/>
    <w:rsid w:val="00C2141D"/>
    <w:rsid w:val="00C218F7"/>
    <w:rsid w:val="00C24802"/>
    <w:rsid w:val="00C26CAB"/>
    <w:rsid w:val="00C361A6"/>
    <w:rsid w:val="00C36CCE"/>
    <w:rsid w:val="00C40889"/>
    <w:rsid w:val="00C439B5"/>
    <w:rsid w:val="00C60258"/>
    <w:rsid w:val="00C6048B"/>
    <w:rsid w:val="00C64D13"/>
    <w:rsid w:val="00C76913"/>
    <w:rsid w:val="00C7739C"/>
    <w:rsid w:val="00C81624"/>
    <w:rsid w:val="00C8291A"/>
    <w:rsid w:val="00C844EC"/>
    <w:rsid w:val="00C908A4"/>
    <w:rsid w:val="00C936A3"/>
    <w:rsid w:val="00C94552"/>
    <w:rsid w:val="00CA2E54"/>
    <w:rsid w:val="00CA4411"/>
    <w:rsid w:val="00CB0913"/>
    <w:rsid w:val="00CB6967"/>
    <w:rsid w:val="00CC1ACD"/>
    <w:rsid w:val="00CD2763"/>
    <w:rsid w:val="00CD66EA"/>
    <w:rsid w:val="00CD6D0C"/>
    <w:rsid w:val="00CD7369"/>
    <w:rsid w:val="00CE0FBA"/>
    <w:rsid w:val="00CE6FC8"/>
    <w:rsid w:val="00CF45DF"/>
    <w:rsid w:val="00CF72FE"/>
    <w:rsid w:val="00D03141"/>
    <w:rsid w:val="00D20ACF"/>
    <w:rsid w:val="00D23FEE"/>
    <w:rsid w:val="00D2614B"/>
    <w:rsid w:val="00D325FC"/>
    <w:rsid w:val="00D332E3"/>
    <w:rsid w:val="00D35BE8"/>
    <w:rsid w:val="00D422A3"/>
    <w:rsid w:val="00D46C47"/>
    <w:rsid w:val="00D57192"/>
    <w:rsid w:val="00D60429"/>
    <w:rsid w:val="00D659C6"/>
    <w:rsid w:val="00D67677"/>
    <w:rsid w:val="00D75AC7"/>
    <w:rsid w:val="00D863BC"/>
    <w:rsid w:val="00D95186"/>
    <w:rsid w:val="00D9575E"/>
    <w:rsid w:val="00D97068"/>
    <w:rsid w:val="00DA6AC4"/>
    <w:rsid w:val="00DB062F"/>
    <w:rsid w:val="00DB44FD"/>
    <w:rsid w:val="00DC344D"/>
    <w:rsid w:val="00DC3E3F"/>
    <w:rsid w:val="00DC67E8"/>
    <w:rsid w:val="00DC697F"/>
    <w:rsid w:val="00DD1B2D"/>
    <w:rsid w:val="00DD1F50"/>
    <w:rsid w:val="00DD57A4"/>
    <w:rsid w:val="00DE7806"/>
    <w:rsid w:val="00DF7859"/>
    <w:rsid w:val="00E021A8"/>
    <w:rsid w:val="00E03919"/>
    <w:rsid w:val="00E07158"/>
    <w:rsid w:val="00E14BD3"/>
    <w:rsid w:val="00E15334"/>
    <w:rsid w:val="00E16D3A"/>
    <w:rsid w:val="00E2188F"/>
    <w:rsid w:val="00E22B24"/>
    <w:rsid w:val="00E30F08"/>
    <w:rsid w:val="00E31474"/>
    <w:rsid w:val="00E3663A"/>
    <w:rsid w:val="00E40F42"/>
    <w:rsid w:val="00E44C73"/>
    <w:rsid w:val="00E46586"/>
    <w:rsid w:val="00E55D3C"/>
    <w:rsid w:val="00E644E8"/>
    <w:rsid w:val="00E65980"/>
    <w:rsid w:val="00E65E29"/>
    <w:rsid w:val="00E7000E"/>
    <w:rsid w:val="00E70361"/>
    <w:rsid w:val="00E71446"/>
    <w:rsid w:val="00E7751C"/>
    <w:rsid w:val="00E93777"/>
    <w:rsid w:val="00E97415"/>
    <w:rsid w:val="00E979B9"/>
    <w:rsid w:val="00EA1F24"/>
    <w:rsid w:val="00EA304E"/>
    <w:rsid w:val="00EA3954"/>
    <w:rsid w:val="00EA4330"/>
    <w:rsid w:val="00EA75B8"/>
    <w:rsid w:val="00EB3104"/>
    <w:rsid w:val="00EB67D8"/>
    <w:rsid w:val="00EC07E8"/>
    <w:rsid w:val="00EC0AF4"/>
    <w:rsid w:val="00EC1B0F"/>
    <w:rsid w:val="00EC32F9"/>
    <w:rsid w:val="00ED15D4"/>
    <w:rsid w:val="00ED2F58"/>
    <w:rsid w:val="00EE23C3"/>
    <w:rsid w:val="00EF0765"/>
    <w:rsid w:val="00EF2807"/>
    <w:rsid w:val="00EF4DAB"/>
    <w:rsid w:val="00EF7429"/>
    <w:rsid w:val="00F11FAE"/>
    <w:rsid w:val="00F203CF"/>
    <w:rsid w:val="00F2250F"/>
    <w:rsid w:val="00F245C5"/>
    <w:rsid w:val="00F261F1"/>
    <w:rsid w:val="00F309DD"/>
    <w:rsid w:val="00F433B3"/>
    <w:rsid w:val="00F55873"/>
    <w:rsid w:val="00F61F39"/>
    <w:rsid w:val="00F7365F"/>
    <w:rsid w:val="00F77744"/>
    <w:rsid w:val="00F83D16"/>
    <w:rsid w:val="00F843BE"/>
    <w:rsid w:val="00F90EEE"/>
    <w:rsid w:val="00F939B5"/>
    <w:rsid w:val="00F95A6E"/>
    <w:rsid w:val="00FA7285"/>
    <w:rsid w:val="00FA7E71"/>
    <w:rsid w:val="00FB2DE6"/>
    <w:rsid w:val="00FC2B05"/>
    <w:rsid w:val="00FC326D"/>
    <w:rsid w:val="00FC43F2"/>
    <w:rsid w:val="00FD0122"/>
    <w:rsid w:val="00FD318F"/>
    <w:rsid w:val="00FE0B8B"/>
    <w:rsid w:val="00FF12F2"/>
    <w:rsid w:val="00FF49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2B9FC0"/>
  <w15:chartTrackingRefBased/>
  <w15:docId w15:val="{B5C85506-A07D-44EB-B12C-6BBCC8A0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D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7D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1E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Colorful List - Accent 11,MCHIP_list paragraph,Recommendation,SUN numbered para.,List Paragraph1"/>
    <w:basedOn w:val="Normal"/>
    <w:link w:val="ListParagraphChar"/>
    <w:uiPriority w:val="34"/>
    <w:qFormat/>
    <w:rsid w:val="002F1D5D"/>
    <w:pPr>
      <w:ind w:left="720"/>
      <w:contextualSpacing/>
      <w:jc w:val="both"/>
    </w:pPr>
    <w:rPr>
      <w:lang w:val="en-US"/>
    </w:rPr>
  </w:style>
  <w:style w:type="character" w:customStyle="1" w:styleId="ListParagraphChar">
    <w:name w:val="List Paragraph Char"/>
    <w:aliases w:val="Paragraph Char,Colorful List - Accent 11 Char,MCHIP_list paragraph Char,Recommendation Char,SUN numbered para. Char,List Paragraph1 Char"/>
    <w:basedOn w:val="DefaultParagraphFont"/>
    <w:link w:val="ListParagraph"/>
    <w:uiPriority w:val="34"/>
    <w:locked/>
    <w:rsid w:val="002F1D5D"/>
    <w:rPr>
      <w:lang w:val="en-US"/>
    </w:rPr>
  </w:style>
  <w:style w:type="character" w:styleId="CommentReference">
    <w:name w:val="annotation reference"/>
    <w:basedOn w:val="DefaultParagraphFont"/>
    <w:semiHidden/>
    <w:unhideWhenUsed/>
    <w:rsid w:val="000A49E6"/>
    <w:rPr>
      <w:sz w:val="16"/>
      <w:szCs w:val="16"/>
    </w:rPr>
  </w:style>
  <w:style w:type="paragraph" w:styleId="CommentText">
    <w:name w:val="annotation text"/>
    <w:basedOn w:val="Normal"/>
    <w:link w:val="CommentTextChar"/>
    <w:uiPriority w:val="99"/>
    <w:semiHidden/>
    <w:unhideWhenUsed/>
    <w:rsid w:val="000A49E6"/>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0A49E6"/>
    <w:rPr>
      <w:sz w:val="20"/>
      <w:szCs w:val="20"/>
      <w:lang w:val="en-US"/>
    </w:rPr>
  </w:style>
  <w:style w:type="paragraph" w:styleId="BalloonText">
    <w:name w:val="Balloon Text"/>
    <w:basedOn w:val="Normal"/>
    <w:link w:val="BalloonTextChar"/>
    <w:uiPriority w:val="99"/>
    <w:semiHidden/>
    <w:unhideWhenUsed/>
    <w:rsid w:val="000A4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9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6077"/>
    <w:rPr>
      <w:b/>
      <w:bCs/>
      <w:lang w:val="en-GB"/>
    </w:rPr>
  </w:style>
  <w:style w:type="character" w:customStyle="1" w:styleId="CommentSubjectChar">
    <w:name w:val="Comment Subject Char"/>
    <w:basedOn w:val="CommentTextChar"/>
    <w:link w:val="CommentSubject"/>
    <w:uiPriority w:val="99"/>
    <w:semiHidden/>
    <w:rsid w:val="005D6077"/>
    <w:rPr>
      <w:b/>
      <w:bCs/>
      <w:sz w:val="20"/>
      <w:szCs w:val="20"/>
      <w:lang w:val="en-US"/>
    </w:rPr>
  </w:style>
  <w:style w:type="character" w:customStyle="1" w:styleId="Heading1Char">
    <w:name w:val="Heading 1 Char"/>
    <w:basedOn w:val="DefaultParagraphFont"/>
    <w:link w:val="Heading1"/>
    <w:uiPriority w:val="9"/>
    <w:rsid w:val="00347D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7D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1EE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07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158"/>
  </w:style>
  <w:style w:type="paragraph" w:styleId="Footer">
    <w:name w:val="footer"/>
    <w:basedOn w:val="Normal"/>
    <w:link w:val="FooterChar"/>
    <w:uiPriority w:val="99"/>
    <w:unhideWhenUsed/>
    <w:rsid w:val="00E07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158"/>
  </w:style>
  <w:style w:type="paragraph" w:styleId="TOCHeading">
    <w:name w:val="TOC Heading"/>
    <w:basedOn w:val="Heading1"/>
    <w:next w:val="Normal"/>
    <w:uiPriority w:val="39"/>
    <w:unhideWhenUsed/>
    <w:qFormat/>
    <w:rsid w:val="00834C72"/>
    <w:pPr>
      <w:outlineLvl w:val="9"/>
    </w:pPr>
    <w:rPr>
      <w:lang w:val="en-US"/>
    </w:rPr>
  </w:style>
  <w:style w:type="paragraph" w:styleId="TOC1">
    <w:name w:val="toc 1"/>
    <w:basedOn w:val="Normal"/>
    <w:next w:val="Normal"/>
    <w:autoRedefine/>
    <w:uiPriority w:val="39"/>
    <w:unhideWhenUsed/>
    <w:rsid w:val="00834C72"/>
    <w:pPr>
      <w:tabs>
        <w:tab w:val="right" w:leader="dot" w:pos="9016"/>
      </w:tabs>
      <w:spacing w:after="100"/>
      <w:jc w:val="center"/>
    </w:pPr>
    <w:rPr>
      <w:b/>
    </w:rPr>
  </w:style>
  <w:style w:type="paragraph" w:styleId="TOC2">
    <w:name w:val="toc 2"/>
    <w:basedOn w:val="Normal"/>
    <w:next w:val="Normal"/>
    <w:autoRedefine/>
    <w:uiPriority w:val="39"/>
    <w:unhideWhenUsed/>
    <w:rsid w:val="00834C72"/>
    <w:pPr>
      <w:spacing w:after="100"/>
      <w:ind w:left="220"/>
    </w:pPr>
  </w:style>
  <w:style w:type="paragraph" w:styleId="TOC3">
    <w:name w:val="toc 3"/>
    <w:basedOn w:val="Normal"/>
    <w:next w:val="Normal"/>
    <w:autoRedefine/>
    <w:uiPriority w:val="39"/>
    <w:unhideWhenUsed/>
    <w:rsid w:val="00834C72"/>
    <w:pPr>
      <w:spacing w:after="100"/>
      <w:ind w:left="440"/>
    </w:pPr>
  </w:style>
  <w:style w:type="character" w:styleId="Hyperlink">
    <w:name w:val="Hyperlink"/>
    <w:basedOn w:val="DefaultParagraphFont"/>
    <w:uiPriority w:val="99"/>
    <w:unhideWhenUsed/>
    <w:rsid w:val="00834C72"/>
    <w:rPr>
      <w:color w:val="0563C1" w:themeColor="hyperlink"/>
      <w:u w:val="single"/>
    </w:rPr>
  </w:style>
  <w:style w:type="paragraph" w:styleId="FootnoteText">
    <w:name w:val="footnote text"/>
    <w:basedOn w:val="Normal"/>
    <w:link w:val="FootnoteTextChar"/>
    <w:uiPriority w:val="99"/>
    <w:semiHidden/>
    <w:unhideWhenUsed/>
    <w:rsid w:val="00E44C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C73"/>
    <w:rPr>
      <w:sz w:val="20"/>
      <w:szCs w:val="20"/>
    </w:rPr>
  </w:style>
  <w:style w:type="character" w:styleId="FootnoteReference">
    <w:name w:val="footnote reference"/>
    <w:basedOn w:val="DefaultParagraphFont"/>
    <w:uiPriority w:val="99"/>
    <w:semiHidden/>
    <w:unhideWhenUsed/>
    <w:rsid w:val="00E44C73"/>
    <w:rPr>
      <w:vertAlign w:val="superscript"/>
    </w:rPr>
  </w:style>
  <w:style w:type="paragraph" w:customStyle="1" w:styleId="Default">
    <w:name w:val="Default"/>
    <w:rsid w:val="00227D2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80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25952">
      <w:bodyDiv w:val="1"/>
      <w:marLeft w:val="0"/>
      <w:marRight w:val="0"/>
      <w:marTop w:val="0"/>
      <w:marBottom w:val="0"/>
      <w:divBdr>
        <w:top w:val="none" w:sz="0" w:space="0" w:color="auto"/>
        <w:left w:val="none" w:sz="0" w:space="0" w:color="auto"/>
        <w:bottom w:val="none" w:sz="0" w:space="0" w:color="auto"/>
        <w:right w:val="none" w:sz="0" w:space="0" w:color="auto"/>
      </w:divBdr>
    </w:div>
    <w:div w:id="531117726">
      <w:bodyDiv w:val="1"/>
      <w:marLeft w:val="0"/>
      <w:marRight w:val="0"/>
      <w:marTop w:val="0"/>
      <w:marBottom w:val="0"/>
      <w:divBdr>
        <w:top w:val="none" w:sz="0" w:space="0" w:color="auto"/>
        <w:left w:val="none" w:sz="0" w:space="0" w:color="auto"/>
        <w:bottom w:val="none" w:sz="0" w:space="0" w:color="auto"/>
        <w:right w:val="none" w:sz="0" w:space="0" w:color="auto"/>
      </w:divBdr>
    </w:div>
    <w:div w:id="881406957">
      <w:bodyDiv w:val="1"/>
      <w:marLeft w:val="0"/>
      <w:marRight w:val="0"/>
      <w:marTop w:val="0"/>
      <w:marBottom w:val="0"/>
      <w:divBdr>
        <w:top w:val="none" w:sz="0" w:space="0" w:color="auto"/>
        <w:left w:val="none" w:sz="0" w:space="0" w:color="auto"/>
        <w:bottom w:val="none" w:sz="0" w:space="0" w:color="auto"/>
        <w:right w:val="none" w:sz="0" w:space="0" w:color="auto"/>
      </w:divBdr>
    </w:div>
    <w:div w:id="882212251">
      <w:bodyDiv w:val="1"/>
      <w:marLeft w:val="0"/>
      <w:marRight w:val="0"/>
      <w:marTop w:val="0"/>
      <w:marBottom w:val="0"/>
      <w:divBdr>
        <w:top w:val="none" w:sz="0" w:space="0" w:color="auto"/>
        <w:left w:val="none" w:sz="0" w:space="0" w:color="auto"/>
        <w:bottom w:val="none" w:sz="0" w:space="0" w:color="auto"/>
        <w:right w:val="none" w:sz="0" w:space="0" w:color="auto"/>
      </w:divBdr>
    </w:div>
    <w:div w:id="916280825">
      <w:bodyDiv w:val="1"/>
      <w:marLeft w:val="0"/>
      <w:marRight w:val="0"/>
      <w:marTop w:val="0"/>
      <w:marBottom w:val="0"/>
      <w:divBdr>
        <w:top w:val="none" w:sz="0" w:space="0" w:color="auto"/>
        <w:left w:val="none" w:sz="0" w:space="0" w:color="auto"/>
        <w:bottom w:val="none" w:sz="0" w:space="0" w:color="auto"/>
        <w:right w:val="none" w:sz="0" w:space="0" w:color="auto"/>
      </w:divBdr>
    </w:div>
    <w:div w:id="982849628">
      <w:bodyDiv w:val="1"/>
      <w:marLeft w:val="0"/>
      <w:marRight w:val="0"/>
      <w:marTop w:val="0"/>
      <w:marBottom w:val="0"/>
      <w:divBdr>
        <w:top w:val="none" w:sz="0" w:space="0" w:color="auto"/>
        <w:left w:val="none" w:sz="0" w:space="0" w:color="auto"/>
        <w:bottom w:val="none" w:sz="0" w:space="0" w:color="auto"/>
        <w:right w:val="none" w:sz="0" w:space="0" w:color="auto"/>
      </w:divBdr>
    </w:div>
    <w:div w:id="1474835916">
      <w:bodyDiv w:val="1"/>
      <w:marLeft w:val="0"/>
      <w:marRight w:val="0"/>
      <w:marTop w:val="0"/>
      <w:marBottom w:val="0"/>
      <w:divBdr>
        <w:top w:val="none" w:sz="0" w:space="0" w:color="auto"/>
        <w:left w:val="none" w:sz="0" w:space="0" w:color="auto"/>
        <w:bottom w:val="none" w:sz="0" w:space="0" w:color="auto"/>
        <w:right w:val="none" w:sz="0" w:space="0" w:color="auto"/>
      </w:divBdr>
    </w:div>
    <w:div w:id="1731923971">
      <w:bodyDiv w:val="1"/>
      <w:marLeft w:val="0"/>
      <w:marRight w:val="0"/>
      <w:marTop w:val="0"/>
      <w:marBottom w:val="0"/>
      <w:divBdr>
        <w:top w:val="none" w:sz="0" w:space="0" w:color="auto"/>
        <w:left w:val="none" w:sz="0" w:space="0" w:color="auto"/>
        <w:bottom w:val="none" w:sz="0" w:space="0" w:color="auto"/>
        <w:right w:val="none" w:sz="0" w:space="0" w:color="auto"/>
      </w:divBdr>
    </w:div>
    <w:div w:id="17878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gAkajtmYn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DF9B0-5D3D-4651-80EC-FE32113A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31</Pages>
  <Words>11665</Words>
  <Characters>66497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Ruberto</dc:creator>
  <cp:keywords/>
  <dc:description/>
  <cp:lastModifiedBy>Cecilia Ruberto</cp:lastModifiedBy>
  <cp:revision>10</cp:revision>
  <cp:lastPrinted>2018-01-08T10:25:00Z</cp:lastPrinted>
  <dcterms:created xsi:type="dcterms:W3CDTF">2020-04-06T11:39:00Z</dcterms:created>
  <dcterms:modified xsi:type="dcterms:W3CDTF">2020-04-21T06:14:00Z</dcterms:modified>
</cp:coreProperties>
</file>