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05A8D" w14:textId="77777777" w:rsidR="00FE795E" w:rsidRPr="00FE795E" w:rsidRDefault="00FE795E" w:rsidP="00FE795E">
      <w:pPr>
        <w:jc w:val="center"/>
        <w:rPr>
          <w:rFonts w:cstheme="minorHAnsi"/>
          <w:b/>
          <w:i/>
          <w:color w:val="C45911" w:themeColor="accent2" w:themeShade="BF"/>
          <w:sz w:val="32"/>
          <w:szCs w:val="32"/>
        </w:rPr>
      </w:pPr>
      <w:proofErr w:type="spellStart"/>
      <w:r w:rsidRPr="00FE795E">
        <w:rPr>
          <w:rFonts w:cstheme="minorHAnsi"/>
          <w:b/>
          <w:i/>
          <w:color w:val="C45911" w:themeColor="accent2" w:themeShade="BF"/>
          <w:sz w:val="32"/>
          <w:szCs w:val="32"/>
        </w:rPr>
        <w:t>Évaluation</w:t>
      </w:r>
      <w:proofErr w:type="spellEnd"/>
      <w:r w:rsidRPr="00FE795E">
        <w:rPr>
          <w:rFonts w:cstheme="minorHAnsi"/>
          <w:b/>
          <w:i/>
          <w:color w:val="C45911" w:themeColor="accent2" w:themeShade="BF"/>
          <w:sz w:val="32"/>
          <w:szCs w:val="32"/>
        </w:rPr>
        <w:t xml:space="preserve"> </w:t>
      </w:r>
      <w:proofErr w:type="spellStart"/>
      <w:r w:rsidRPr="00FE795E">
        <w:rPr>
          <w:rFonts w:cstheme="minorHAnsi"/>
          <w:b/>
          <w:i/>
          <w:color w:val="C45911" w:themeColor="accent2" w:themeShade="BF"/>
          <w:sz w:val="32"/>
          <w:szCs w:val="32"/>
        </w:rPr>
        <w:t>annuelle</w:t>
      </w:r>
      <w:proofErr w:type="spellEnd"/>
      <w:r w:rsidRPr="00FE795E">
        <w:rPr>
          <w:rFonts w:cstheme="minorHAnsi"/>
          <w:b/>
          <w:i/>
          <w:color w:val="C45911" w:themeColor="accent2" w:themeShade="BF"/>
          <w:sz w:val="32"/>
          <w:szCs w:val="32"/>
        </w:rPr>
        <w:t xml:space="preserve"> </w:t>
      </w:r>
      <w:proofErr w:type="spellStart"/>
      <w:r w:rsidRPr="00FE795E">
        <w:rPr>
          <w:rFonts w:cstheme="minorHAnsi"/>
          <w:b/>
          <w:i/>
          <w:color w:val="C45911" w:themeColor="accent2" w:themeShade="BF"/>
          <w:sz w:val="32"/>
          <w:szCs w:val="32"/>
        </w:rPr>
        <w:t>conjointe</w:t>
      </w:r>
      <w:proofErr w:type="spellEnd"/>
      <w:r w:rsidRPr="00FE795E">
        <w:rPr>
          <w:rFonts w:cstheme="minorHAnsi"/>
          <w:b/>
          <w:i/>
          <w:color w:val="C45911" w:themeColor="accent2" w:themeShade="BF"/>
          <w:sz w:val="32"/>
          <w:szCs w:val="32"/>
        </w:rPr>
        <w:t xml:space="preserve"> SUN 2020</w:t>
      </w:r>
    </w:p>
    <w:p w14:paraId="4C8431B8" w14:textId="77777777" w:rsidR="00FE795E" w:rsidRPr="00FE795E" w:rsidRDefault="00FE795E" w:rsidP="00FE795E">
      <w:pPr>
        <w:jc w:val="center"/>
        <w:rPr>
          <w:rFonts w:cstheme="minorHAnsi"/>
          <w:b/>
          <w:i/>
          <w:color w:val="C45911" w:themeColor="accent2" w:themeShade="BF"/>
          <w:sz w:val="32"/>
          <w:szCs w:val="32"/>
          <w:u w:val="single"/>
        </w:rPr>
      </w:pPr>
      <w:r w:rsidRPr="00FE795E">
        <w:rPr>
          <w:rFonts w:cstheme="minorHAnsi"/>
          <w:b/>
          <w:i/>
          <w:color w:val="C45911" w:themeColor="accent2" w:themeShade="BF"/>
          <w:sz w:val="32"/>
          <w:szCs w:val="32"/>
          <w:u w:val="single"/>
        </w:rPr>
        <w:t xml:space="preserve">Note </w:t>
      </w:r>
      <w:proofErr w:type="spellStart"/>
      <w:r w:rsidRPr="00FE795E">
        <w:rPr>
          <w:rFonts w:cstheme="minorHAnsi"/>
          <w:b/>
          <w:i/>
          <w:color w:val="C45911" w:themeColor="accent2" w:themeShade="BF"/>
          <w:sz w:val="32"/>
          <w:szCs w:val="32"/>
          <w:u w:val="single"/>
        </w:rPr>
        <w:t>d'orientation</w:t>
      </w:r>
      <w:proofErr w:type="spellEnd"/>
      <w:r w:rsidRPr="00FE795E">
        <w:rPr>
          <w:rFonts w:cstheme="minorHAnsi"/>
          <w:b/>
          <w:i/>
          <w:color w:val="C45911" w:themeColor="accent2" w:themeShade="BF"/>
          <w:sz w:val="32"/>
          <w:szCs w:val="32"/>
          <w:u w:val="single"/>
        </w:rPr>
        <w:t xml:space="preserve"> pour les ASC pour un engagement </w:t>
      </w:r>
      <w:proofErr w:type="spellStart"/>
      <w:r w:rsidRPr="00FE795E">
        <w:rPr>
          <w:rFonts w:cstheme="minorHAnsi"/>
          <w:b/>
          <w:i/>
          <w:color w:val="C45911" w:themeColor="accent2" w:themeShade="BF"/>
          <w:sz w:val="32"/>
          <w:szCs w:val="32"/>
          <w:u w:val="single"/>
        </w:rPr>
        <w:t>efficace</w:t>
      </w:r>
      <w:proofErr w:type="spellEnd"/>
    </w:p>
    <w:p w14:paraId="35F227EF" w14:textId="77777777" w:rsidR="00FE795E" w:rsidRDefault="00FE795E" w:rsidP="00FE795E">
      <w:pPr>
        <w:rPr>
          <w:rFonts w:cstheme="minorHAnsi"/>
          <w:b/>
          <w:i/>
          <w:color w:val="C45911" w:themeColor="accent2" w:themeShade="BF"/>
          <w:sz w:val="32"/>
          <w:szCs w:val="32"/>
        </w:rPr>
      </w:pPr>
    </w:p>
    <w:p w14:paraId="3B5D9C73" w14:textId="215D04C7" w:rsidR="00FE795E" w:rsidRPr="00FE795E" w:rsidRDefault="00FE795E" w:rsidP="00FE795E">
      <w:pPr>
        <w:rPr>
          <w:rFonts w:cstheme="minorHAnsi"/>
          <w:lang w:val="fr-FR"/>
        </w:rPr>
      </w:pPr>
      <w:r w:rsidRPr="00FE795E">
        <w:rPr>
          <w:rFonts w:cstheme="minorHAnsi"/>
          <w:lang w:val="fr-FR"/>
        </w:rPr>
        <w:t xml:space="preserve">Tous les points focaux du gouvernement SUN auront désormais reçu une communication du Secrétariat du Mouvement SUN (SMS) concernant </w:t>
      </w:r>
      <w:hyperlink r:id="rId8" w:history="1">
        <w:r w:rsidRPr="00FE795E">
          <w:rPr>
            <w:rStyle w:val="Hyperlink"/>
            <w:rFonts w:cstheme="minorHAnsi"/>
            <w:lang w:val="fr-FR"/>
          </w:rPr>
          <w:t>l'exercice d'évaluation annuelle conjointe 2020</w:t>
        </w:r>
      </w:hyperlink>
      <w:r w:rsidRPr="00FE795E">
        <w:rPr>
          <w:rFonts w:cstheme="minorHAnsi"/>
          <w:lang w:val="fr-FR"/>
        </w:rPr>
        <w:t xml:space="preserve"> (JAA).</w:t>
      </w:r>
    </w:p>
    <w:p w14:paraId="1147CB5C" w14:textId="77777777" w:rsidR="00FE795E" w:rsidRPr="00FE795E" w:rsidRDefault="00FE795E" w:rsidP="00FE795E">
      <w:pPr>
        <w:rPr>
          <w:rFonts w:cstheme="minorHAnsi"/>
          <w:lang w:val="fr-FR"/>
        </w:rPr>
      </w:pPr>
      <w:r w:rsidRPr="00FE795E">
        <w:rPr>
          <w:rFonts w:cstheme="minorHAnsi"/>
          <w:lang w:val="fr-FR"/>
        </w:rPr>
        <w:t xml:space="preserve">Les points focaux du gouvernement SUN sont priés de coordonner une </w:t>
      </w:r>
      <w:r w:rsidRPr="00FE795E">
        <w:rPr>
          <w:rFonts w:cstheme="minorHAnsi"/>
          <w:b/>
          <w:bCs/>
          <w:lang w:val="fr-FR"/>
        </w:rPr>
        <w:t>consultation</w:t>
      </w:r>
      <w:r w:rsidRPr="00FE795E">
        <w:rPr>
          <w:rFonts w:cstheme="minorHAnsi"/>
          <w:lang w:val="fr-FR"/>
        </w:rPr>
        <w:t xml:space="preserve">, rassemblant tous les réseaux SUN du pays, pour convenir de votre soumission JAA. La période suggérée pour la tenue de la consultation est de </w:t>
      </w:r>
      <w:r w:rsidRPr="00FE795E">
        <w:rPr>
          <w:rFonts w:cstheme="minorHAnsi"/>
          <w:b/>
          <w:bCs/>
          <w:lang w:val="fr-FR"/>
        </w:rPr>
        <w:t>juillet à octobre 2020</w:t>
      </w:r>
      <w:r w:rsidRPr="00FE795E">
        <w:rPr>
          <w:rFonts w:cstheme="minorHAnsi"/>
          <w:lang w:val="fr-FR"/>
        </w:rPr>
        <w:t xml:space="preserve"> (période de rapport à peu près au cours des 12 derniers mois, ou depuis la soumission du dernier rapport JAA).</w:t>
      </w:r>
    </w:p>
    <w:p w14:paraId="0A514B43" w14:textId="77777777" w:rsidR="00FE795E" w:rsidRPr="00FE795E" w:rsidRDefault="00FE795E" w:rsidP="00FE795E">
      <w:pPr>
        <w:rPr>
          <w:rFonts w:cstheme="minorHAnsi"/>
          <w:lang w:val="fr-FR"/>
        </w:rPr>
      </w:pPr>
      <w:r w:rsidRPr="00FE795E">
        <w:rPr>
          <w:rFonts w:cstheme="minorHAnsi"/>
          <w:lang w:val="fr-FR"/>
        </w:rPr>
        <w:t xml:space="preserve">Le JAA est important car </w:t>
      </w:r>
      <w:proofErr w:type="gramStart"/>
      <w:r w:rsidRPr="00FE795E">
        <w:rPr>
          <w:rFonts w:cstheme="minorHAnsi"/>
          <w:lang w:val="fr-FR"/>
        </w:rPr>
        <w:t>il:</w:t>
      </w:r>
      <w:proofErr w:type="gramEnd"/>
    </w:p>
    <w:p w14:paraId="6BC0FDB6" w14:textId="48FF573A" w:rsidR="00FE795E" w:rsidRPr="00FE795E" w:rsidRDefault="00FE795E" w:rsidP="00FE795E">
      <w:pPr>
        <w:pStyle w:val="ListParagraph"/>
        <w:numPr>
          <w:ilvl w:val="0"/>
          <w:numId w:val="16"/>
        </w:numPr>
        <w:rPr>
          <w:rFonts w:cstheme="minorHAnsi"/>
          <w:lang w:val="fr-FR"/>
        </w:rPr>
      </w:pPr>
      <w:r w:rsidRPr="00FE795E">
        <w:rPr>
          <w:rFonts w:cstheme="minorHAnsi"/>
          <w:lang w:val="fr-FR"/>
        </w:rPr>
        <w:t>Fournit une mise à jour sur les progrès des pays SUN et met en évidence les défis.</w:t>
      </w:r>
    </w:p>
    <w:p w14:paraId="65D22E0B" w14:textId="4511A7B8" w:rsidR="00FE795E" w:rsidRPr="00FE795E" w:rsidRDefault="00FE795E" w:rsidP="00FE795E">
      <w:pPr>
        <w:pStyle w:val="ListParagraph"/>
        <w:numPr>
          <w:ilvl w:val="0"/>
          <w:numId w:val="16"/>
        </w:numPr>
        <w:rPr>
          <w:rFonts w:cstheme="minorHAnsi"/>
          <w:lang w:val="fr-FR"/>
        </w:rPr>
      </w:pPr>
      <w:r w:rsidRPr="00FE795E">
        <w:rPr>
          <w:rFonts w:cstheme="minorHAnsi"/>
          <w:lang w:val="fr-FR"/>
        </w:rPr>
        <w:t>Crée une opportunité pour tous les réseaux SUN de se rassembler et de réfléchir aux progrès pour améliorer les plans futurs.</w:t>
      </w:r>
    </w:p>
    <w:p w14:paraId="4B3D50CF" w14:textId="18DE370D" w:rsidR="00FE795E" w:rsidRPr="00FE795E" w:rsidRDefault="00FE795E" w:rsidP="00FE795E">
      <w:pPr>
        <w:pStyle w:val="ListParagraph"/>
        <w:numPr>
          <w:ilvl w:val="0"/>
          <w:numId w:val="16"/>
        </w:numPr>
        <w:rPr>
          <w:rFonts w:cstheme="minorHAnsi"/>
          <w:lang w:val="fr-FR"/>
        </w:rPr>
      </w:pPr>
      <w:r w:rsidRPr="00FE795E">
        <w:rPr>
          <w:rFonts w:cstheme="minorHAnsi"/>
          <w:lang w:val="fr-FR"/>
        </w:rPr>
        <w:t>Fournit une opportunité à toutes les parties prenantes de discuter et de s'entendre sur les priorités des pays SUN pour l'année à venir.</w:t>
      </w:r>
    </w:p>
    <w:p w14:paraId="0A51F5DC" w14:textId="2306A539" w:rsidR="00FE795E" w:rsidRPr="00FE795E" w:rsidRDefault="00FE795E" w:rsidP="00FE795E">
      <w:pPr>
        <w:pStyle w:val="ListParagraph"/>
        <w:numPr>
          <w:ilvl w:val="0"/>
          <w:numId w:val="16"/>
        </w:numPr>
        <w:rPr>
          <w:rFonts w:cstheme="minorHAnsi"/>
          <w:lang w:val="fr-FR"/>
        </w:rPr>
      </w:pPr>
      <w:r w:rsidRPr="00FE795E">
        <w:rPr>
          <w:rFonts w:cstheme="minorHAnsi"/>
          <w:lang w:val="fr-FR"/>
        </w:rPr>
        <w:t>Fournit une rétroaction précieuse pour façonner la direction et les priorités du Mouvement SUN dans son ensemble.</w:t>
      </w:r>
    </w:p>
    <w:p w14:paraId="0551B88A" w14:textId="77777777" w:rsidR="00FE795E" w:rsidRPr="00FE795E" w:rsidRDefault="00FE795E" w:rsidP="00FE795E">
      <w:pPr>
        <w:rPr>
          <w:rFonts w:cstheme="minorHAnsi"/>
          <w:lang w:val="fr-FR"/>
        </w:rPr>
      </w:pPr>
      <w:r w:rsidRPr="00FE795E">
        <w:rPr>
          <w:rFonts w:cstheme="minorHAnsi"/>
          <w:b/>
          <w:bCs/>
          <w:lang w:val="fr-FR"/>
        </w:rPr>
        <w:t>Pour les alliances de la société civile (ASC),</w:t>
      </w:r>
      <w:r w:rsidRPr="00FE795E">
        <w:rPr>
          <w:rFonts w:cstheme="minorHAnsi"/>
          <w:lang w:val="fr-FR"/>
        </w:rPr>
        <w:t xml:space="preserve"> les JAA sont une occasion importante de mettre en valeur la contribution de la société civile à l'intensification de la nutrition et de signaler les principaux obstacles au progrès. Le JAA est un moment pour la plate-forme nationale multi-parties prenantes SUN pour faire une pause et réfléchir sur les progrès et prioriser les étapes futures.</w:t>
      </w:r>
    </w:p>
    <w:p w14:paraId="441743F4" w14:textId="1FC1C238" w:rsidR="00FE795E" w:rsidRDefault="00FE795E" w:rsidP="00FE795E">
      <w:pPr>
        <w:rPr>
          <w:rFonts w:cstheme="minorHAnsi"/>
          <w:i/>
          <w:iCs/>
          <w:lang w:val="fr-FR"/>
        </w:rPr>
      </w:pPr>
      <w:r w:rsidRPr="00FE795E">
        <w:rPr>
          <w:rFonts w:cstheme="minorHAnsi"/>
          <w:lang w:val="fr-FR"/>
        </w:rPr>
        <w:t xml:space="preserve">Nous encourageons tous les ASC à participer activement à l'exercice JAA. </w:t>
      </w:r>
      <w:r w:rsidRPr="00FE795E">
        <w:rPr>
          <w:rFonts w:cstheme="minorHAnsi"/>
          <w:i/>
          <w:iCs/>
          <w:lang w:val="fr-FR"/>
        </w:rPr>
        <w:t>Cette note fournit des conseils pour permettre aux ASC de s'engager efficacement dans le processus et de garantir que la contribution, les défis et les priorités de la société civile sont pris en compte. Si vous avez encore des questions ou des préoccupations, n'hésitez pas à nous contacter au Secrétariat.</w:t>
      </w:r>
    </w:p>
    <w:p w14:paraId="620CF387" w14:textId="77777777" w:rsidR="00390DDA" w:rsidRPr="00390DDA" w:rsidRDefault="00390DDA" w:rsidP="00390DDA">
      <w:pPr>
        <w:rPr>
          <w:rFonts w:cstheme="minorHAnsi"/>
          <w:lang w:val="fr-FR"/>
        </w:rPr>
      </w:pPr>
      <w:r w:rsidRPr="00390DDA">
        <w:rPr>
          <w:rFonts w:cstheme="minorHAnsi"/>
          <w:lang w:val="fr-FR"/>
        </w:rPr>
        <w:t xml:space="preserve">Principales caractéristiques des JAA 2020 </w:t>
      </w:r>
    </w:p>
    <w:p w14:paraId="25E77090" w14:textId="43C68C71" w:rsidR="00390DDA" w:rsidRPr="00390DDA" w:rsidRDefault="00390DDA" w:rsidP="00390DDA">
      <w:pPr>
        <w:pStyle w:val="ListParagraph"/>
        <w:numPr>
          <w:ilvl w:val="0"/>
          <w:numId w:val="22"/>
        </w:numPr>
        <w:rPr>
          <w:rFonts w:cstheme="minorHAnsi"/>
          <w:lang w:val="fr-FR"/>
        </w:rPr>
      </w:pPr>
      <w:r w:rsidRPr="00390DDA">
        <w:rPr>
          <w:rFonts w:cstheme="minorHAnsi"/>
          <w:lang w:val="fr-FR"/>
        </w:rPr>
        <w:t>Système en ligne : le résultat de la discussion commune des JAA sera téléchargé par le point focal sur une plateforme en ligne (https://ja.scalingupnutrition.org)</w:t>
      </w:r>
    </w:p>
    <w:p w14:paraId="3AD61B15" w14:textId="6796DEC2" w:rsidR="00390DDA" w:rsidRPr="00390DDA" w:rsidRDefault="00390DDA" w:rsidP="00390DDA">
      <w:pPr>
        <w:pStyle w:val="ListParagraph"/>
        <w:numPr>
          <w:ilvl w:val="0"/>
          <w:numId w:val="22"/>
        </w:numPr>
        <w:rPr>
          <w:rFonts w:cstheme="minorHAnsi"/>
          <w:lang w:val="fr-FR"/>
        </w:rPr>
      </w:pPr>
      <w:r w:rsidRPr="00390DDA">
        <w:rPr>
          <w:rFonts w:cstheme="minorHAnsi"/>
          <w:lang w:val="fr-FR"/>
        </w:rPr>
        <w:t xml:space="preserve">Accès aux base de données en </w:t>
      </w:r>
      <w:proofErr w:type="gramStart"/>
      <w:r w:rsidRPr="00390DDA">
        <w:rPr>
          <w:rFonts w:cstheme="minorHAnsi"/>
          <w:lang w:val="fr-FR"/>
        </w:rPr>
        <w:t>ligne:</w:t>
      </w:r>
      <w:proofErr w:type="gramEnd"/>
      <w:r w:rsidRPr="00390DDA">
        <w:rPr>
          <w:rFonts w:cstheme="minorHAnsi"/>
          <w:lang w:val="fr-FR"/>
        </w:rPr>
        <w:t xml:space="preserve"> tous les animateurs des réseaux SUN auront accès à la plate-forme</w:t>
      </w:r>
      <w:r>
        <w:rPr>
          <w:rFonts w:cstheme="minorHAnsi"/>
          <w:lang w:val="fr-FR"/>
        </w:rPr>
        <w:t xml:space="preserve"> </w:t>
      </w:r>
      <w:r w:rsidRPr="00390DDA">
        <w:rPr>
          <w:rFonts w:cstheme="minorHAnsi"/>
          <w:lang w:val="fr-FR"/>
        </w:rPr>
        <w:t xml:space="preserve">en ligne, mais à l'exception du point focal, les réseaux ne pourront voir que la section 3, spécifique à la contribution des réseaux. </w:t>
      </w:r>
      <w:proofErr w:type="spellStart"/>
      <w:r w:rsidRPr="00390DDA">
        <w:rPr>
          <w:rFonts w:cstheme="minorHAnsi"/>
          <w:lang w:val="fr-FR"/>
        </w:rPr>
        <w:t>Veuillez vous</w:t>
      </w:r>
      <w:proofErr w:type="spellEnd"/>
      <w:r w:rsidRPr="00390DDA">
        <w:rPr>
          <w:rFonts w:cstheme="minorHAnsi"/>
          <w:lang w:val="fr-FR"/>
        </w:rPr>
        <w:t xml:space="preserve"> assurer que vous avez bien reçu votre identifiant et votre mot de passe. Si vous ne les avez pas reçus, veuillez écrire à : </w:t>
      </w:r>
      <w:hyperlink r:id="rId9" w:history="1">
        <w:r w:rsidRPr="00390DDA">
          <w:rPr>
            <w:rStyle w:val="Hyperlink"/>
            <w:rFonts w:cstheme="minorHAnsi"/>
            <w:lang w:val="fr-FR"/>
          </w:rPr>
          <w:t>sun.assessment@scalingupnutrition.org</w:t>
        </w:r>
      </w:hyperlink>
      <w:r w:rsidRPr="00390DDA">
        <w:rPr>
          <w:rFonts w:cstheme="minorHAnsi"/>
          <w:lang w:val="fr-FR"/>
        </w:rPr>
        <w:t xml:space="preserve"> </w:t>
      </w:r>
      <w:r w:rsidRPr="00390DDA">
        <w:rPr>
          <w:rFonts w:cstheme="minorHAnsi"/>
          <w:lang w:val="fr-FR"/>
        </w:rPr>
        <w:t xml:space="preserve"> et copier dans </w:t>
      </w:r>
      <w:hyperlink r:id="rId10" w:history="1">
        <w:r w:rsidRPr="00390DDA">
          <w:rPr>
            <w:rStyle w:val="Hyperlink"/>
            <w:rFonts w:cstheme="minorHAnsi"/>
            <w:lang w:val="fr-FR"/>
          </w:rPr>
          <w:t>c.ruberto@savethechildren.org.uk</w:t>
        </w:r>
      </w:hyperlink>
      <w:r w:rsidRPr="00390DDA">
        <w:rPr>
          <w:rFonts w:cstheme="minorHAnsi"/>
          <w:lang w:val="fr-FR"/>
        </w:rPr>
        <w:t xml:space="preserve"> </w:t>
      </w:r>
      <w:r w:rsidRPr="00390DDA">
        <w:rPr>
          <w:rFonts w:cstheme="minorHAnsi"/>
          <w:lang w:val="fr-FR"/>
        </w:rPr>
        <w:t xml:space="preserve"> </w:t>
      </w:r>
    </w:p>
    <w:p w14:paraId="42D9B524" w14:textId="77777777" w:rsidR="00390DDA" w:rsidRPr="00390DDA" w:rsidRDefault="00390DDA" w:rsidP="00390DDA">
      <w:pPr>
        <w:rPr>
          <w:rFonts w:cstheme="minorHAnsi"/>
          <w:b/>
          <w:bCs/>
          <w:lang w:val="fr-FR"/>
        </w:rPr>
      </w:pPr>
      <w:r w:rsidRPr="00390DDA">
        <w:rPr>
          <w:rFonts w:cstheme="minorHAnsi"/>
          <w:b/>
          <w:bCs/>
          <w:lang w:val="fr-FR"/>
        </w:rPr>
        <w:t xml:space="preserve">Structure des JAA </w:t>
      </w:r>
    </w:p>
    <w:p w14:paraId="35070EFB" w14:textId="77777777" w:rsidR="00390DDA" w:rsidRPr="00390DDA" w:rsidRDefault="00390DDA" w:rsidP="00390DDA">
      <w:pPr>
        <w:pStyle w:val="ListParagraph"/>
        <w:numPr>
          <w:ilvl w:val="0"/>
          <w:numId w:val="17"/>
        </w:numPr>
        <w:rPr>
          <w:rFonts w:cstheme="minorHAnsi"/>
          <w:lang w:val="fr-FR"/>
        </w:rPr>
      </w:pPr>
      <w:r w:rsidRPr="00390DDA">
        <w:rPr>
          <w:rFonts w:cstheme="minorHAnsi"/>
          <w:b/>
          <w:bCs/>
          <w:lang w:val="fr-FR"/>
        </w:rPr>
        <w:t>Processus SUN</w:t>
      </w:r>
      <w:r w:rsidRPr="00390DDA">
        <w:rPr>
          <w:rFonts w:cstheme="minorHAnsi"/>
          <w:lang w:val="fr-FR"/>
        </w:rPr>
        <w:t xml:space="preserve"> : Quatre processus guident l'intervention de SUN 2.0, les JAA recherchent spécifiquement des changements au sein de ces processus.</w:t>
      </w:r>
    </w:p>
    <w:p w14:paraId="6AD6720C" w14:textId="63F6ACA2" w:rsidR="00390DDA" w:rsidRPr="00390DDA" w:rsidRDefault="00390DDA" w:rsidP="00390DDA">
      <w:pPr>
        <w:pStyle w:val="ListParagraph"/>
        <w:numPr>
          <w:ilvl w:val="0"/>
          <w:numId w:val="17"/>
        </w:numPr>
        <w:rPr>
          <w:rFonts w:cstheme="minorHAnsi"/>
          <w:lang w:val="fr-FR"/>
        </w:rPr>
      </w:pPr>
      <w:r w:rsidRPr="00390DDA">
        <w:rPr>
          <w:rFonts w:cstheme="minorHAnsi"/>
          <w:b/>
          <w:bCs/>
          <w:lang w:val="fr-FR"/>
        </w:rPr>
        <w:lastRenderedPageBreak/>
        <w:t>Marqueurs de progrès</w:t>
      </w:r>
      <w:r w:rsidRPr="00390DDA">
        <w:rPr>
          <w:rFonts w:cstheme="minorHAnsi"/>
          <w:lang w:val="fr-FR"/>
        </w:rPr>
        <w:t xml:space="preserve"> : les marqueurs de progrès sont des jalons qui sont essentiels pour le succès des processus SUN. Chaque processus a plusieurs marqueurs de progrès, certains peuvent être essentiels à l'intervention de l'ASC, d'autres moins. Tous les réseaux sont censés discuter des progrès, des défis, des résultats et, en plus d'une réponse qualitative, ils devront s'entendre sur une notation. Vous trouverez la note explicative du marqueur de progrès SUN ici :  </w:t>
      </w:r>
      <w:hyperlink r:id="rId11" w:tgtFrame="_blank" w:history="1">
        <w:r w:rsidRPr="00390DDA">
          <w:rPr>
            <w:rStyle w:val="Hyperlink"/>
            <w:rFonts w:cs="Open Sans"/>
            <w:bCs/>
            <w:i/>
            <w:iCs/>
            <w:color w:val="F68220"/>
            <w:bdr w:val="none" w:sz="0" w:space="0" w:color="auto" w:frame="1"/>
            <w:lang w:val="fr-FR"/>
          </w:rPr>
          <w:t>English</w:t>
        </w:r>
      </w:hyperlink>
      <w:r w:rsidRPr="00390DDA">
        <w:rPr>
          <w:rStyle w:val="Emphasis"/>
          <w:rFonts w:cs="Open Sans"/>
          <w:bCs/>
          <w:color w:val="444444"/>
          <w:bdr w:val="none" w:sz="0" w:space="0" w:color="auto" w:frame="1"/>
          <w:lang w:val="fr-FR"/>
        </w:rPr>
        <w:t> | </w:t>
      </w:r>
      <w:hyperlink r:id="rId12" w:tgtFrame="_blank" w:history="1">
        <w:r w:rsidRPr="00390DDA">
          <w:rPr>
            <w:rStyle w:val="Hyperlink"/>
            <w:rFonts w:cs="Open Sans"/>
            <w:bCs/>
            <w:i/>
            <w:iCs/>
            <w:color w:val="F68220"/>
            <w:bdr w:val="none" w:sz="0" w:space="0" w:color="auto" w:frame="1"/>
            <w:lang w:val="fr-FR"/>
          </w:rPr>
          <w:t>Français</w:t>
        </w:r>
      </w:hyperlink>
      <w:r w:rsidRPr="00390DDA">
        <w:rPr>
          <w:rStyle w:val="Emphasis"/>
          <w:rFonts w:cs="Open Sans"/>
          <w:bCs/>
          <w:color w:val="444444"/>
          <w:bdr w:val="none" w:sz="0" w:space="0" w:color="auto" w:frame="1"/>
          <w:lang w:val="fr-FR"/>
        </w:rPr>
        <w:t> | </w:t>
      </w:r>
      <w:proofErr w:type="spellStart"/>
      <w:r>
        <w:fldChar w:fldCharType="begin"/>
      </w:r>
      <w:r w:rsidRPr="00390DDA">
        <w:rPr>
          <w:lang w:val="fr-FR"/>
        </w:rPr>
        <w:instrText xml:space="preserve"> HYPERLINK "https://scalingupnutrition.org/wp-content/uploads/2020/06/SUN-JA-Explanatory-Note-ESP-2020_web.pdf" \t "_blank" </w:instrText>
      </w:r>
      <w:r>
        <w:fldChar w:fldCharType="separate"/>
      </w:r>
      <w:r w:rsidRPr="00390DDA">
        <w:rPr>
          <w:rStyle w:val="Hyperlink"/>
          <w:rFonts w:cs="Open Sans"/>
          <w:bCs/>
          <w:i/>
          <w:iCs/>
          <w:color w:val="F68220"/>
          <w:bdr w:val="none" w:sz="0" w:space="0" w:color="auto" w:frame="1"/>
          <w:lang w:val="fr-FR"/>
        </w:rPr>
        <w:t>Español</w:t>
      </w:r>
      <w:proofErr w:type="spellEnd"/>
      <w:r>
        <w:rPr>
          <w:rStyle w:val="Hyperlink"/>
          <w:rFonts w:cs="Open Sans"/>
          <w:bCs/>
          <w:i/>
          <w:iCs/>
          <w:color w:val="F68220"/>
          <w:bdr w:val="none" w:sz="0" w:space="0" w:color="auto" w:frame="1"/>
        </w:rPr>
        <w:fldChar w:fldCharType="end"/>
      </w:r>
    </w:p>
    <w:p w14:paraId="3FE21F69" w14:textId="6A25CE98" w:rsidR="00390DDA" w:rsidRPr="00390DDA" w:rsidRDefault="00390DDA" w:rsidP="00390DDA">
      <w:pPr>
        <w:pStyle w:val="ListParagraph"/>
        <w:numPr>
          <w:ilvl w:val="0"/>
          <w:numId w:val="17"/>
        </w:numPr>
        <w:rPr>
          <w:rFonts w:cstheme="minorHAnsi"/>
          <w:lang w:val="fr-FR"/>
        </w:rPr>
      </w:pPr>
      <w:r w:rsidRPr="00390DDA">
        <w:rPr>
          <w:rFonts w:cstheme="minorHAnsi"/>
          <w:b/>
          <w:bCs/>
          <w:lang w:val="fr-FR"/>
        </w:rPr>
        <w:t>Contribution des réseaux</w:t>
      </w:r>
      <w:r w:rsidRPr="00390DDA">
        <w:rPr>
          <w:rFonts w:cstheme="minorHAnsi"/>
          <w:lang w:val="fr-FR"/>
        </w:rPr>
        <w:t xml:space="preserve"> : cette section, le numéro 3, doit être remplie par les </w:t>
      </w:r>
      <w:r w:rsidR="00BA1EA9">
        <w:rPr>
          <w:rFonts w:cstheme="minorHAnsi"/>
          <w:lang w:val="fr-FR"/>
        </w:rPr>
        <w:t>ASC</w:t>
      </w:r>
      <w:r w:rsidRPr="00390DDA">
        <w:rPr>
          <w:rFonts w:cstheme="minorHAnsi"/>
          <w:lang w:val="fr-FR"/>
        </w:rPr>
        <w:t>. Vous pouvez y partager les principales réalisations des 12 derniers mois, éventuellement alignées sur les 4 processus SUN.</w:t>
      </w:r>
    </w:p>
    <w:p w14:paraId="60DBCC18" w14:textId="77777777" w:rsidR="00390DDA" w:rsidRPr="00390DDA" w:rsidRDefault="00390DDA" w:rsidP="00390DDA">
      <w:pPr>
        <w:pStyle w:val="ListParagraph"/>
        <w:numPr>
          <w:ilvl w:val="0"/>
          <w:numId w:val="17"/>
        </w:numPr>
        <w:rPr>
          <w:rFonts w:cstheme="minorHAnsi"/>
          <w:lang w:val="fr-FR"/>
        </w:rPr>
      </w:pPr>
      <w:r w:rsidRPr="00390DDA">
        <w:rPr>
          <w:rFonts w:cstheme="minorHAnsi"/>
          <w:b/>
          <w:bCs/>
          <w:lang w:val="fr-FR"/>
        </w:rPr>
        <w:t>Priorités</w:t>
      </w:r>
      <w:r w:rsidRPr="00390DDA">
        <w:rPr>
          <w:rFonts w:cstheme="minorHAnsi"/>
          <w:lang w:val="fr-FR"/>
        </w:rPr>
        <w:t xml:space="preserve"> : dans quelle mesure le MSP national de SUN a répondu aux priorités identifiées l'année dernière. Dans cette section, les priorités pour l'année prochaine seront également énumérées, ainsi que le type de soutien technique dont le MSP pourrait avoir besoin. Il pourrait être utile d'examiner l'évaluation de l'année précédente au cours de la discussion (vous pouvez trouver le rapport JAA de l'année précédente ici).</w:t>
      </w:r>
    </w:p>
    <w:p w14:paraId="7FC19172" w14:textId="29697BF7" w:rsidR="00390DDA" w:rsidRPr="00390DDA" w:rsidRDefault="00390DDA" w:rsidP="0022365E">
      <w:pPr>
        <w:pStyle w:val="ListParagraph"/>
        <w:numPr>
          <w:ilvl w:val="0"/>
          <w:numId w:val="17"/>
        </w:numPr>
        <w:rPr>
          <w:rFonts w:cstheme="minorHAnsi"/>
          <w:lang w:val="fr-FR"/>
        </w:rPr>
      </w:pPr>
      <w:r w:rsidRPr="00390DDA">
        <w:rPr>
          <w:rFonts w:cstheme="minorHAnsi"/>
          <w:b/>
          <w:bCs/>
          <w:lang w:val="fr-FR"/>
        </w:rPr>
        <w:t>Sections thématiques</w:t>
      </w:r>
      <w:r w:rsidRPr="00390DDA">
        <w:rPr>
          <w:rFonts w:cstheme="minorHAnsi"/>
          <w:lang w:val="fr-FR"/>
        </w:rPr>
        <w:t xml:space="preserve"> (urgence, genre, fonds commun, intervention infranationale)</w:t>
      </w:r>
    </w:p>
    <w:p w14:paraId="1D6495B5" w14:textId="77777777" w:rsidR="00C01382" w:rsidRDefault="00C01382" w:rsidP="00C01382">
      <w:pPr>
        <w:rPr>
          <w:rFonts w:cstheme="minorHAnsi"/>
          <w:b/>
        </w:rPr>
      </w:pPr>
    </w:p>
    <w:p w14:paraId="1F588D05" w14:textId="77777777" w:rsidR="00390DDA" w:rsidRPr="00390DDA" w:rsidRDefault="00390DDA" w:rsidP="00837E97">
      <w:pPr>
        <w:rPr>
          <w:rFonts w:cstheme="minorHAnsi"/>
          <w:b/>
          <w:color w:val="C45911" w:themeColor="accent2" w:themeShade="BF"/>
          <w:sz w:val="36"/>
          <w:szCs w:val="36"/>
          <w:lang w:val="fr-FR"/>
        </w:rPr>
      </w:pPr>
      <w:r w:rsidRPr="00390DDA">
        <w:rPr>
          <w:rFonts w:cstheme="minorHAnsi"/>
          <w:b/>
          <w:color w:val="C45911" w:themeColor="accent2" w:themeShade="BF"/>
          <w:sz w:val="36"/>
          <w:szCs w:val="36"/>
          <w:lang w:val="fr-FR"/>
        </w:rPr>
        <w:t>CONSEILS et ASTRUCTIONS</w:t>
      </w:r>
    </w:p>
    <w:p w14:paraId="514FCD01" w14:textId="34BF3FB5" w:rsidR="00390DDA" w:rsidRPr="00390DDA" w:rsidRDefault="00390DDA" w:rsidP="00837E97">
      <w:pPr>
        <w:rPr>
          <w:rFonts w:cstheme="minorHAnsi"/>
          <w:b/>
          <w:color w:val="ED7D31" w:themeColor="accent2"/>
          <w:sz w:val="28"/>
          <w:szCs w:val="28"/>
          <w:u w:val="single"/>
          <w:lang w:val="fr-FR"/>
        </w:rPr>
      </w:pPr>
      <w:r w:rsidRPr="00390DDA">
        <w:rPr>
          <w:rFonts w:cstheme="minorHAnsi"/>
          <w:b/>
          <w:color w:val="ED7D31" w:themeColor="accent2"/>
          <w:sz w:val="28"/>
          <w:szCs w:val="28"/>
          <w:u w:val="single"/>
          <w:lang w:val="fr-FR"/>
        </w:rPr>
        <w:t xml:space="preserve">Conseils pour l'engagement des </w:t>
      </w:r>
      <w:r w:rsidR="00BA1EA9">
        <w:rPr>
          <w:rFonts w:cstheme="minorHAnsi"/>
          <w:b/>
          <w:color w:val="ED7D31" w:themeColor="accent2"/>
          <w:sz w:val="28"/>
          <w:szCs w:val="28"/>
          <w:u w:val="single"/>
          <w:lang w:val="fr-FR"/>
        </w:rPr>
        <w:t>ASC</w:t>
      </w:r>
      <w:r w:rsidRPr="00390DDA">
        <w:rPr>
          <w:rFonts w:cstheme="minorHAnsi"/>
          <w:b/>
          <w:color w:val="ED7D31" w:themeColor="accent2"/>
          <w:sz w:val="28"/>
          <w:szCs w:val="28"/>
          <w:u w:val="single"/>
          <w:lang w:val="fr-FR"/>
        </w:rPr>
        <w:t xml:space="preserve"> : Avant les JAA </w:t>
      </w:r>
    </w:p>
    <w:p w14:paraId="5A9A6259" w14:textId="303B48EA" w:rsidR="00390DDA" w:rsidRPr="00390DDA" w:rsidRDefault="00390DDA" w:rsidP="00390DDA">
      <w:pPr>
        <w:rPr>
          <w:rFonts w:cstheme="minorHAnsi"/>
          <w:bCs/>
          <w:lang w:val="fr-FR"/>
        </w:rPr>
      </w:pPr>
      <w:r w:rsidRPr="00390DDA">
        <w:rPr>
          <w:rFonts w:cstheme="minorHAnsi"/>
          <w:b/>
          <w:lang w:val="fr-FR"/>
        </w:rPr>
        <w:t>Participation</w:t>
      </w:r>
      <w:r w:rsidRPr="00390DDA">
        <w:rPr>
          <w:rFonts w:cstheme="minorHAnsi"/>
          <w:bCs/>
          <w:lang w:val="fr-FR"/>
        </w:rPr>
        <w:t xml:space="preserve"> : Les représentants de la société civile doivent être invités par le point focal SUN à participer à un atelier JAA (en ligne ou en face à face). Si un représentant de votre </w:t>
      </w:r>
      <w:r w:rsidR="00BA1EA9">
        <w:rPr>
          <w:rFonts w:cstheme="minorHAnsi"/>
          <w:bCs/>
          <w:lang w:val="fr-FR"/>
        </w:rPr>
        <w:t>ASC</w:t>
      </w:r>
      <w:r w:rsidRPr="00390DDA">
        <w:rPr>
          <w:rFonts w:cstheme="minorHAnsi"/>
          <w:bCs/>
          <w:lang w:val="fr-FR"/>
        </w:rPr>
        <w:t xml:space="preserve"> n'a pas encore été invité, veuillez contacter votre point focal gouvernemental SUN pour savoir quand l'atelier JAA est prévu et comment la société civile peut y participer. Il est essentiel que le </w:t>
      </w:r>
      <w:r w:rsidR="00BA1EA9">
        <w:rPr>
          <w:rFonts w:cstheme="minorHAnsi"/>
          <w:bCs/>
          <w:lang w:val="fr-FR"/>
        </w:rPr>
        <w:t>ASC</w:t>
      </w:r>
      <w:r w:rsidRPr="00390DDA">
        <w:rPr>
          <w:rFonts w:cstheme="minorHAnsi"/>
          <w:bCs/>
          <w:lang w:val="fr-FR"/>
        </w:rPr>
        <w:t xml:space="preserve"> (comme les autres réseaux) soit informé de l'événement au moins 3 à 4 semaines à l'avance pour pouvoir convoquer les organisations membres afin de discuter et de récupérer les informations requises. </w:t>
      </w:r>
    </w:p>
    <w:p w14:paraId="6FBBDCC0" w14:textId="0749AA5A" w:rsidR="00390DDA" w:rsidRPr="00390DDA" w:rsidRDefault="00390DDA" w:rsidP="00390DDA">
      <w:pPr>
        <w:rPr>
          <w:rFonts w:cstheme="minorHAnsi"/>
          <w:bCs/>
          <w:lang w:val="fr-FR"/>
        </w:rPr>
      </w:pPr>
      <w:r w:rsidRPr="00390DDA">
        <w:rPr>
          <w:rFonts w:cstheme="minorHAnsi"/>
          <w:bCs/>
          <w:lang w:val="fr-FR"/>
        </w:rPr>
        <w:t xml:space="preserve">Si vous avez des problèmes pour obtenir un espace pour la participation de la société civile, veuillez nous contacter en envoyant un courriel à </w:t>
      </w:r>
      <w:hyperlink r:id="rId13" w:history="1">
        <w:r w:rsidRPr="00F806AF">
          <w:rPr>
            <w:rStyle w:val="Hyperlink"/>
            <w:rFonts w:cstheme="minorHAnsi"/>
            <w:bCs/>
            <w:lang w:val="fr-FR"/>
          </w:rPr>
          <w:t>sun.</w:t>
        </w:r>
        <w:r w:rsidR="00BA1EA9">
          <w:rPr>
            <w:rStyle w:val="Hyperlink"/>
            <w:rFonts w:cstheme="minorHAnsi"/>
            <w:bCs/>
            <w:lang w:val="fr-FR"/>
          </w:rPr>
          <w:t>RSC</w:t>
        </w:r>
        <w:r w:rsidRPr="00F806AF">
          <w:rPr>
            <w:rStyle w:val="Hyperlink"/>
            <w:rFonts w:cstheme="minorHAnsi"/>
            <w:bCs/>
            <w:lang w:val="fr-FR"/>
          </w:rPr>
          <w:t>etwork@savethechildren.org.uk</w:t>
        </w:r>
      </w:hyperlink>
      <w:r>
        <w:rPr>
          <w:rFonts w:cstheme="minorHAnsi"/>
          <w:bCs/>
          <w:lang w:val="fr-FR"/>
        </w:rPr>
        <w:t xml:space="preserve"> </w:t>
      </w:r>
      <w:r w:rsidRPr="00390DDA">
        <w:rPr>
          <w:rFonts w:cstheme="minorHAnsi"/>
          <w:bCs/>
          <w:lang w:val="fr-FR"/>
        </w:rPr>
        <w:t xml:space="preserve"> &amp; </w:t>
      </w:r>
      <w:hyperlink r:id="rId14" w:history="1">
        <w:r w:rsidRPr="00F806AF">
          <w:rPr>
            <w:rStyle w:val="Hyperlink"/>
            <w:rFonts w:cstheme="minorHAnsi"/>
            <w:bCs/>
            <w:lang w:val="fr-FR"/>
          </w:rPr>
          <w:t>c.ruberto@savethechildren.org.uk</w:t>
        </w:r>
      </w:hyperlink>
      <w:r>
        <w:rPr>
          <w:rFonts w:cstheme="minorHAnsi"/>
          <w:bCs/>
          <w:lang w:val="fr-FR"/>
        </w:rPr>
        <w:t xml:space="preserve"> </w:t>
      </w:r>
      <w:r w:rsidRPr="00390DDA">
        <w:rPr>
          <w:rFonts w:cstheme="minorHAnsi"/>
          <w:bCs/>
          <w:lang w:val="fr-FR"/>
        </w:rPr>
        <w:t xml:space="preserve"> .</w:t>
      </w:r>
    </w:p>
    <w:p w14:paraId="1510AB96" w14:textId="77777777" w:rsidR="00390DDA" w:rsidRPr="00390DDA" w:rsidRDefault="00390DDA" w:rsidP="00390DDA">
      <w:pPr>
        <w:rPr>
          <w:rFonts w:cstheme="minorHAnsi"/>
          <w:b/>
          <w:lang w:val="fr-FR"/>
        </w:rPr>
      </w:pPr>
      <w:r w:rsidRPr="00390DDA">
        <w:rPr>
          <w:rFonts w:cstheme="minorHAnsi"/>
          <w:b/>
          <w:lang w:val="fr-FR"/>
        </w:rPr>
        <w:t xml:space="preserve">Préparation : </w:t>
      </w:r>
    </w:p>
    <w:p w14:paraId="3B935A75" w14:textId="2A2D1CC2" w:rsidR="00390DDA" w:rsidRPr="00390DDA" w:rsidRDefault="00390DDA" w:rsidP="00390DDA">
      <w:pPr>
        <w:pStyle w:val="ListParagraph"/>
        <w:numPr>
          <w:ilvl w:val="0"/>
          <w:numId w:val="21"/>
        </w:numPr>
        <w:rPr>
          <w:rFonts w:cstheme="minorHAnsi"/>
          <w:bCs/>
          <w:lang w:val="fr-FR"/>
        </w:rPr>
      </w:pPr>
      <w:r w:rsidRPr="00390DDA">
        <w:rPr>
          <w:rFonts w:cstheme="minorHAnsi"/>
          <w:b/>
          <w:lang w:val="fr-FR"/>
        </w:rPr>
        <w:t>Examinez la note d'orientation</w:t>
      </w:r>
      <w:r w:rsidRPr="00390DDA">
        <w:rPr>
          <w:rFonts w:cstheme="minorHAnsi"/>
          <w:bCs/>
          <w:lang w:val="fr-FR"/>
        </w:rPr>
        <w:t xml:space="preserve"> des JAA et la note explicative des marqueurs de progrès fournis par le SMS (liens à la fin de ce document).  </w:t>
      </w:r>
    </w:p>
    <w:p w14:paraId="1F02007D" w14:textId="7B9D5D2A" w:rsidR="00390DDA" w:rsidRPr="00390DDA" w:rsidRDefault="00390DDA" w:rsidP="00390DDA">
      <w:pPr>
        <w:pStyle w:val="ListParagraph"/>
        <w:numPr>
          <w:ilvl w:val="0"/>
          <w:numId w:val="21"/>
        </w:numPr>
        <w:rPr>
          <w:rFonts w:cstheme="minorHAnsi"/>
          <w:bCs/>
          <w:lang w:val="fr-FR"/>
        </w:rPr>
      </w:pPr>
      <w:r w:rsidRPr="00390DDA">
        <w:rPr>
          <w:rFonts w:cstheme="minorHAnsi"/>
          <w:b/>
          <w:lang w:val="fr-FR"/>
        </w:rPr>
        <w:t>Revoir le modèle de formulaire JAA</w:t>
      </w:r>
      <w:r w:rsidRPr="00390DDA">
        <w:rPr>
          <w:rFonts w:cstheme="minorHAnsi"/>
          <w:bCs/>
          <w:lang w:val="fr-FR"/>
        </w:rPr>
        <w:t xml:space="preserve"> : un document Word est disponible pour travailler hors ligne et pour informer les discussions préparatoires. (</w:t>
      </w:r>
      <w:hyperlink r:id="rId15" w:history="1">
        <w:r w:rsidRPr="00BA1EA9">
          <w:rPr>
            <w:rStyle w:val="Hyperlink"/>
            <w:rFonts w:cstheme="minorHAnsi"/>
            <w:bCs/>
            <w:lang w:val="fr-FR"/>
          </w:rPr>
          <w:t>disponible ici</w:t>
        </w:r>
      </w:hyperlink>
      <w:r w:rsidRPr="00390DDA">
        <w:rPr>
          <w:rFonts w:cstheme="minorHAnsi"/>
          <w:bCs/>
          <w:lang w:val="fr-FR"/>
        </w:rPr>
        <w:t>).</w:t>
      </w:r>
    </w:p>
    <w:p w14:paraId="2AD987EA" w14:textId="47091AD6" w:rsidR="00390DDA" w:rsidRPr="00390DDA" w:rsidRDefault="00390DDA" w:rsidP="00390DDA">
      <w:pPr>
        <w:pStyle w:val="ListParagraph"/>
        <w:numPr>
          <w:ilvl w:val="0"/>
          <w:numId w:val="21"/>
        </w:numPr>
        <w:rPr>
          <w:rFonts w:cstheme="minorHAnsi"/>
          <w:bCs/>
          <w:lang w:val="fr-FR"/>
        </w:rPr>
      </w:pPr>
      <w:r w:rsidRPr="00390DDA">
        <w:rPr>
          <w:rFonts w:cstheme="minorHAnsi"/>
          <w:b/>
          <w:lang w:val="fr-FR"/>
        </w:rPr>
        <w:t>Contactez et rencontrez</w:t>
      </w:r>
      <w:r w:rsidRPr="00390DDA">
        <w:rPr>
          <w:rFonts w:cstheme="minorHAnsi"/>
          <w:bCs/>
          <w:lang w:val="fr-FR"/>
        </w:rPr>
        <w:t xml:space="preserve"> (en face à face ou virtuellement) les membres de votre </w:t>
      </w:r>
      <w:r w:rsidR="00BA1EA9">
        <w:rPr>
          <w:rFonts w:cstheme="minorHAnsi"/>
          <w:bCs/>
          <w:lang w:val="fr-FR"/>
        </w:rPr>
        <w:t>ASC</w:t>
      </w:r>
      <w:r w:rsidRPr="00390DDA">
        <w:rPr>
          <w:rFonts w:cstheme="minorHAnsi"/>
          <w:bCs/>
          <w:lang w:val="fr-FR"/>
        </w:rPr>
        <w:t xml:space="preserve"> : discutez des principales réalisations des OSC et des </w:t>
      </w:r>
      <w:r w:rsidR="00BA1EA9">
        <w:rPr>
          <w:rFonts w:cstheme="minorHAnsi"/>
          <w:bCs/>
          <w:lang w:val="fr-FR"/>
        </w:rPr>
        <w:t>ASC</w:t>
      </w:r>
      <w:r w:rsidRPr="00390DDA">
        <w:rPr>
          <w:rFonts w:cstheme="minorHAnsi"/>
          <w:bCs/>
          <w:lang w:val="fr-FR"/>
        </w:rPr>
        <w:t xml:space="preserve"> en général, des priorités pour l'année prochaine, des défis. Façonnez les discussions en vous assurant que vous pouvez obtenir de riches aperçus pour les différents marqueurs de progrès SUN des JAA. Il vous sera demandé de remplir directement la section 3.2 "Contributions clés de la société civile aux objectifs stratégiques du Mouvement SUN en 2019-2020". Vos discussions avec les membres des OSC seront essentielles pour récupérer ces mises à jour. Si vous n'êtes pas en mesure de </w:t>
      </w:r>
      <w:r w:rsidRPr="00390DDA">
        <w:rPr>
          <w:rFonts w:cstheme="minorHAnsi"/>
          <w:bCs/>
          <w:lang w:val="fr-FR"/>
        </w:rPr>
        <w:lastRenderedPageBreak/>
        <w:t xml:space="preserve">les rencontrer en personne ou d'envisager virtuellement d'autres outils en ligne comme des enquêtes en ligne ou des courriels. </w:t>
      </w:r>
    </w:p>
    <w:p w14:paraId="763FE0F0" w14:textId="48635FE1" w:rsidR="00390DDA" w:rsidRPr="00390DDA" w:rsidRDefault="00390DDA" w:rsidP="00390DDA">
      <w:pPr>
        <w:pStyle w:val="ListParagraph"/>
        <w:numPr>
          <w:ilvl w:val="0"/>
          <w:numId w:val="21"/>
        </w:numPr>
        <w:rPr>
          <w:rFonts w:cstheme="minorHAnsi"/>
          <w:bCs/>
          <w:lang w:val="fr-FR"/>
        </w:rPr>
      </w:pPr>
      <w:r w:rsidRPr="00390DDA">
        <w:rPr>
          <w:rFonts w:cstheme="minorHAnsi"/>
          <w:b/>
          <w:lang w:val="fr-FR"/>
        </w:rPr>
        <w:t>Consolidez les contributions des membres</w:t>
      </w:r>
      <w:r w:rsidRPr="00390DDA">
        <w:rPr>
          <w:rFonts w:cstheme="minorHAnsi"/>
          <w:bCs/>
          <w:lang w:val="fr-FR"/>
        </w:rPr>
        <w:t xml:space="preserve"> de votre A</w:t>
      </w:r>
      <w:r>
        <w:rPr>
          <w:rFonts w:cstheme="minorHAnsi"/>
          <w:bCs/>
          <w:lang w:val="fr-FR"/>
        </w:rPr>
        <w:t>SC</w:t>
      </w:r>
      <w:r w:rsidRPr="00390DDA">
        <w:rPr>
          <w:rFonts w:cstheme="minorHAnsi"/>
          <w:bCs/>
          <w:lang w:val="fr-FR"/>
        </w:rPr>
        <w:t xml:space="preserve"> : beaucoup ont trouvé utile de remplir le modèle JAA avec des informations pertinentes pour la SC, mais ce n'est bien sûr pas obligatoire (à moins que votre PF ne le demande explicitement).  Ce qui est important, c'est que vous consolidiez les contributions des OSC sur un document auquel vous pouvez facilement accéder pendant l'atelier JAA proprement dit. </w:t>
      </w:r>
    </w:p>
    <w:p w14:paraId="0BA55B97" w14:textId="77777777" w:rsidR="00390DDA" w:rsidRPr="00390DDA" w:rsidRDefault="00390DDA" w:rsidP="00390DDA">
      <w:pPr>
        <w:rPr>
          <w:rFonts w:cstheme="minorHAnsi"/>
          <w:bCs/>
          <w:lang w:val="fr-FR"/>
        </w:rPr>
      </w:pPr>
      <w:r w:rsidRPr="00390DDA">
        <w:rPr>
          <w:rFonts w:cstheme="minorHAnsi"/>
          <w:b/>
          <w:lang w:val="fr-FR"/>
        </w:rPr>
        <w:t>L'implication de vos membres</w:t>
      </w:r>
      <w:r w:rsidRPr="00390DDA">
        <w:rPr>
          <w:rFonts w:cstheme="minorHAnsi"/>
          <w:bCs/>
          <w:lang w:val="fr-FR"/>
        </w:rPr>
        <w:t xml:space="preserve"> dans le processus JAA vous permettra de recevoir des informations pertinentes qui pourraient ne pas être facilement disponibles pendant la session JAA et les impliquera également dans la consultation, en les sensibilisant à la dynamique et aux méthodes de travail du pays SUN. </w:t>
      </w:r>
    </w:p>
    <w:p w14:paraId="61B761D5" w14:textId="77777777" w:rsidR="00390DDA" w:rsidRPr="00390DDA" w:rsidRDefault="00390DDA" w:rsidP="00390DDA">
      <w:pPr>
        <w:rPr>
          <w:rFonts w:cstheme="minorHAnsi"/>
          <w:bCs/>
          <w:lang w:val="fr-FR"/>
        </w:rPr>
      </w:pPr>
      <w:r w:rsidRPr="00390DDA">
        <w:rPr>
          <w:rFonts w:cstheme="minorHAnsi"/>
          <w:bCs/>
          <w:lang w:val="fr-FR"/>
        </w:rPr>
        <w:t xml:space="preserve">Lors de la préparation de votre contribution, tenez compte des points suivants : </w:t>
      </w:r>
    </w:p>
    <w:p w14:paraId="53310823" w14:textId="0483771E" w:rsidR="00390DDA" w:rsidRPr="00390DDA" w:rsidRDefault="00390DDA" w:rsidP="00390DDA">
      <w:pPr>
        <w:pStyle w:val="ListParagraph"/>
        <w:numPr>
          <w:ilvl w:val="0"/>
          <w:numId w:val="19"/>
        </w:numPr>
        <w:rPr>
          <w:rFonts w:cstheme="minorHAnsi"/>
          <w:bCs/>
          <w:lang w:val="fr-FR"/>
        </w:rPr>
      </w:pPr>
      <w:r w:rsidRPr="00390DDA">
        <w:rPr>
          <w:rFonts w:cstheme="minorHAnsi"/>
          <w:b/>
          <w:lang w:val="fr-FR"/>
        </w:rPr>
        <w:t>Intervention infranationale</w:t>
      </w:r>
      <w:r w:rsidRPr="00390DDA">
        <w:rPr>
          <w:rFonts w:cstheme="minorHAnsi"/>
          <w:bCs/>
          <w:lang w:val="fr-FR"/>
        </w:rPr>
        <w:t xml:space="preserve"> : n'oubliez pas de représenter les expériences des OSC locales/communautaires et des structures décentralisées au sein du </w:t>
      </w:r>
      <w:r w:rsidR="00BA1EA9">
        <w:rPr>
          <w:rFonts w:cstheme="minorHAnsi"/>
          <w:bCs/>
          <w:lang w:val="fr-FR"/>
        </w:rPr>
        <w:t>ASC</w:t>
      </w:r>
      <w:r w:rsidRPr="00390DDA">
        <w:rPr>
          <w:rFonts w:cstheme="minorHAnsi"/>
          <w:bCs/>
          <w:lang w:val="fr-FR"/>
        </w:rPr>
        <w:t xml:space="preserve">. Leur contribution sera cruciale pour rendre compte de la mise en œuvre des plans et pour identifier les blocages. </w:t>
      </w:r>
    </w:p>
    <w:p w14:paraId="1B1205CD" w14:textId="250D52BF" w:rsidR="00390DDA" w:rsidRPr="00390DDA" w:rsidRDefault="00390DDA" w:rsidP="00390DDA">
      <w:pPr>
        <w:pStyle w:val="ListParagraph"/>
        <w:numPr>
          <w:ilvl w:val="0"/>
          <w:numId w:val="19"/>
        </w:numPr>
        <w:rPr>
          <w:rFonts w:cstheme="minorHAnsi"/>
          <w:bCs/>
          <w:lang w:val="fr-FR"/>
        </w:rPr>
      </w:pPr>
      <w:r w:rsidRPr="00390DDA">
        <w:rPr>
          <w:rFonts w:cstheme="minorHAnsi"/>
          <w:b/>
          <w:lang w:val="fr-FR"/>
        </w:rPr>
        <w:t>Positifs et négatifs</w:t>
      </w:r>
      <w:r w:rsidRPr="00390DDA">
        <w:rPr>
          <w:rFonts w:cstheme="minorHAnsi"/>
          <w:bCs/>
          <w:lang w:val="fr-FR"/>
        </w:rPr>
        <w:t xml:space="preserve"> : l'atelier est l'occasion de partager la manière dont l'ASC contribue aux priorités nationales en matière de SUN, telles que la mise en œuvre dans le cadre des plans nationaux de nutrition, ainsi que de mettre en évidence les obstacles et de suggérer des améliorations. </w:t>
      </w:r>
    </w:p>
    <w:p w14:paraId="1D755035" w14:textId="13E61DC1" w:rsidR="00390DDA" w:rsidRPr="00390DDA" w:rsidRDefault="00390DDA" w:rsidP="00390DDA">
      <w:pPr>
        <w:pStyle w:val="ListParagraph"/>
        <w:numPr>
          <w:ilvl w:val="0"/>
          <w:numId w:val="19"/>
        </w:numPr>
        <w:rPr>
          <w:rFonts w:cstheme="minorHAnsi"/>
          <w:bCs/>
        </w:rPr>
      </w:pPr>
      <w:r w:rsidRPr="00390DDA">
        <w:rPr>
          <w:rFonts w:cstheme="minorHAnsi"/>
          <w:b/>
          <w:lang w:val="fr-FR"/>
        </w:rPr>
        <w:t>Priorités 2019</w:t>
      </w:r>
      <w:r w:rsidRPr="00390DDA">
        <w:rPr>
          <w:rFonts w:cstheme="minorHAnsi"/>
          <w:bCs/>
          <w:lang w:val="fr-FR"/>
        </w:rPr>
        <w:t xml:space="preserve"> : passer en revue les priorités identifiées pour l'année dernière et discuter de la façon dont la SC a contribué à les traiter. </w:t>
      </w:r>
      <w:proofErr w:type="spellStart"/>
      <w:r w:rsidRPr="00390DDA">
        <w:rPr>
          <w:rFonts w:cstheme="minorHAnsi"/>
          <w:bCs/>
        </w:rPr>
        <w:t>Vous</w:t>
      </w:r>
      <w:proofErr w:type="spellEnd"/>
      <w:r w:rsidRPr="00390DDA">
        <w:rPr>
          <w:rFonts w:cstheme="minorHAnsi"/>
          <w:bCs/>
        </w:rPr>
        <w:t xml:space="preserve"> </w:t>
      </w:r>
      <w:proofErr w:type="spellStart"/>
      <w:r w:rsidRPr="00390DDA">
        <w:rPr>
          <w:rFonts w:cstheme="minorHAnsi"/>
          <w:bCs/>
        </w:rPr>
        <w:t>trouverez</w:t>
      </w:r>
      <w:proofErr w:type="spellEnd"/>
      <w:r w:rsidRPr="00390DDA">
        <w:rPr>
          <w:rFonts w:cstheme="minorHAnsi"/>
          <w:bCs/>
        </w:rPr>
        <w:t xml:space="preserve"> les </w:t>
      </w:r>
      <w:hyperlink r:id="rId16" w:history="1">
        <w:r w:rsidRPr="00BA1EA9">
          <w:rPr>
            <w:rStyle w:val="Hyperlink"/>
            <w:rFonts w:cstheme="minorHAnsi"/>
            <w:bCs/>
          </w:rPr>
          <w:t xml:space="preserve">rapports des JAA 2019 </w:t>
        </w:r>
        <w:proofErr w:type="spellStart"/>
        <w:r w:rsidRPr="00BA1EA9">
          <w:rPr>
            <w:rStyle w:val="Hyperlink"/>
            <w:rFonts w:cstheme="minorHAnsi"/>
            <w:bCs/>
          </w:rPr>
          <w:t>ici</w:t>
        </w:r>
        <w:proofErr w:type="spellEnd"/>
        <w:r w:rsidRPr="00BA1EA9">
          <w:rPr>
            <w:rStyle w:val="Hyperlink"/>
            <w:rFonts w:cstheme="minorHAnsi"/>
            <w:bCs/>
          </w:rPr>
          <w:t>.</w:t>
        </w:r>
      </w:hyperlink>
    </w:p>
    <w:p w14:paraId="31350711" w14:textId="0C0F3666" w:rsidR="00390DDA" w:rsidRPr="00390DDA" w:rsidRDefault="00390DDA" w:rsidP="00390DDA">
      <w:pPr>
        <w:pStyle w:val="ListParagraph"/>
        <w:numPr>
          <w:ilvl w:val="0"/>
          <w:numId w:val="19"/>
        </w:numPr>
        <w:rPr>
          <w:rFonts w:cstheme="minorHAnsi"/>
          <w:bCs/>
          <w:lang w:val="fr-FR"/>
        </w:rPr>
      </w:pPr>
      <w:r w:rsidRPr="00390DDA">
        <w:rPr>
          <w:rFonts w:cstheme="minorHAnsi"/>
          <w:b/>
          <w:lang w:val="fr-FR"/>
        </w:rPr>
        <w:t>Priorités 2020-2021</w:t>
      </w:r>
      <w:r w:rsidRPr="00390DDA">
        <w:rPr>
          <w:rFonts w:cstheme="minorHAnsi"/>
          <w:bCs/>
          <w:lang w:val="fr-FR"/>
        </w:rPr>
        <w:t xml:space="preserve"> : Discutez et identifiez les priorités que vous souhaitez voir définies par votre plateforme multipartite SUN en 2018-2019. Ces priorités étant très claires dès le début, elles vous aideront à mener les discussions plus tard.</w:t>
      </w:r>
    </w:p>
    <w:p w14:paraId="68A31125" w14:textId="5EA38706" w:rsidR="00BA1EA9" w:rsidRDefault="00BA1EA9" w:rsidP="003C2F8D">
      <w:pPr>
        <w:rPr>
          <w:rFonts w:cstheme="minorHAnsi"/>
          <w:b/>
          <w:color w:val="ED7D31" w:themeColor="accent2"/>
          <w:sz w:val="28"/>
          <w:szCs w:val="28"/>
          <w:u w:val="single"/>
          <w:lang w:val="fr-FR"/>
        </w:rPr>
      </w:pPr>
      <w:r w:rsidRPr="00BA1EA9">
        <w:rPr>
          <w:rFonts w:cstheme="minorHAnsi"/>
          <w:b/>
          <w:color w:val="ED7D31" w:themeColor="accent2"/>
          <w:sz w:val="28"/>
          <w:szCs w:val="28"/>
          <w:u w:val="single"/>
          <w:lang w:val="fr-FR"/>
        </w:rPr>
        <w:t xml:space="preserve">Conseils pour l'engagement des </w:t>
      </w:r>
      <w:r>
        <w:rPr>
          <w:rFonts w:cstheme="minorHAnsi"/>
          <w:b/>
          <w:color w:val="ED7D31" w:themeColor="accent2"/>
          <w:sz w:val="28"/>
          <w:szCs w:val="28"/>
          <w:u w:val="single"/>
          <w:lang w:val="fr-FR"/>
        </w:rPr>
        <w:t>ASC</w:t>
      </w:r>
      <w:r w:rsidRPr="00BA1EA9">
        <w:rPr>
          <w:rFonts w:cstheme="minorHAnsi"/>
          <w:b/>
          <w:color w:val="ED7D31" w:themeColor="accent2"/>
          <w:sz w:val="28"/>
          <w:szCs w:val="28"/>
          <w:u w:val="single"/>
          <w:lang w:val="fr-FR"/>
        </w:rPr>
        <w:t xml:space="preserve"> : Pendant la consultation des JAA</w:t>
      </w:r>
    </w:p>
    <w:p w14:paraId="5A89B4ED" w14:textId="77777777" w:rsidR="00BA1EA9" w:rsidRPr="00BA1EA9" w:rsidRDefault="00BA1EA9" w:rsidP="00BA1EA9">
      <w:pPr>
        <w:rPr>
          <w:rFonts w:cstheme="minorHAnsi"/>
          <w:bCs/>
          <w:lang w:val="fr-FR"/>
        </w:rPr>
      </w:pPr>
      <w:r w:rsidRPr="00BA1EA9">
        <w:rPr>
          <w:rFonts w:cstheme="minorHAnsi"/>
          <w:b/>
          <w:lang w:val="fr-FR"/>
        </w:rPr>
        <w:t>Participation</w:t>
      </w:r>
      <w:r w:rsidRPr="00BA1EA9">
        <w:rPr>
          <w:rFonts w:cstheme="minorHAnsi"/>
          <w:bCs/>
          <w:lang w:val="fr-FR"/>
        </w:rPr>
        <w:t xml:space="preserve"> : Visez la participation d'au moins 3-4 représentants de votre ASC à l'atelier. Cela permettra à la société civile d'être représentée si vous êtes divisés en groupes ou de se soutenir mutuellement pendant les discussions. Avant l'atelier, les représentants de l'ASC doivent examiner les contributions et les priorités identifiées par les membres de l'ASC.</w:t>
      </w:r>
    </w:p>
    <w:p w14:paraId="6FEEBBB7" w14:textId="085B3A51" w:rsidR="00BA1EA9" w:rsidRPr="00BA1EA9" w:rsidRDefault="00BA1EA9" w:rsidP="00BA1EA9">
      <w:pPr>
        <w:rPr>
          <w:rFonts w:cstheme="minorHAnsi"/>
          <w:bCs/>
          <w:lang w:val="fr-FR"/>
        </w:rPr>
      </w:pPr>
      <w:r w:rsidRPr="00BA1EA9">
        <w:rPr>
          <w:rFonts w:cstheme="minorHAnsi"/>
          <w:b/>
          <w:lang w:val="fr-FR"/>
        </w:rPr>
        <w:t xml:space="preserve">Contribution à la discussion </w:t>
      </w:r>
      <w:r w:rsidRPr="00BA1EA9">
        <w:rPr>
          <w:rFonts w:cstheme="minorHAnsi"/>
          <w:bCs/>
          <w:lang w:val="fr-FR"/>
        </w:rPr>
        <w:t xml:space="preserve">:  Tirez parti de votre travail de préparation pour contribuer aux discussions afin de vous assurer de refléter l'expérience de tous les membres de la </w:t>
      </w:r>
      <w:r>
        <w:rPr>
          <w:rFonts w:cstheme="minorHAnsi"/>
          <w:bCs/>
          <w:lang w:val="fr-FR"/>
        </w:rPr>
        <w:t>ASC</w:t>
      </w:r>
      <w:r w:rsidRPr="00BA1EA9">
        <w:rPr>
          <w:rFonts w:cstheme="minorHAnsi"/>
          <w:bCs/>
          <w:lang w:val="fr-FR"/>
        </w:rPr>
        <w:t xml:space="preserve"> ainsi que la vôtre. Renforcez vos principales priorités et soutenez les points soulevés par les autres membres de la </w:t>
      </w:r>
      <w:r>
        <w:rPr>
          <w:rFonts w:cstheme="minorHAnsi"/>
          <w:bCs/>
          <w:lang w:val="fr-FR"/>
        </w:rPr>
        <w:t>ASC</w:t>
      </w:r>
      <w:r w:rsidRPr="00BA1EA9">
        <w:rPr>
          <w:rFonts w:cstheme="minorHAnsi"/>
          <w:bCs/>
          <w:lang w:val="fr-FR"/>
        </w:rPr>
        <w:t xml:space="preserve">. Si vous le pouvez, prenez des notes que vous enverrez à l'animateur après l'atelier pour renforcer votre contribution. Écoutez et réfléchissez aux points soulevés par les autres parties prenantes, efforcez-vous d'être constructif et de cibler les solutions. </w:t>
      </w:r>
    </w:p>
    <w:p w14:paraId="146F6455" w14:textId="77777777" w:rsidR="00BA1EA9" w:rsidRPr="00BA1EA9" w:rsidRDefault="00BA1EA9" w:rsidP="00BA1EA9">
      <w:pPr>
        <w:rPr>
          <w:rFonts w:cstheme="minorHAnsi"/>
          <w:bCs/>
          <w:lang w:val="fr-FR"/>
        </w:rPr>
      </w:pPr>
      <w:r w:rsidRPr="00BA1EA9">
        <w:rPr>
          <w:rFonts w:cstheme="minorHAnsi"/>
          <w:b/>
          <w:lang w:val="fr-FR"/>
        </w:rPr>
        <w:t>Prise de décision</w:t>
      </w:r>
      <w:r w:rsidRPr="00BA1EA9">
        <w:rPr>
          <w:rFonts w:cstheme="minorHAnsi"/>
          <w:bCs/>
          <w:lang w:val="fr-FR"/>
        </w:rPr>
        <w:t xml:space="preserve"> : soyez aussi SMART que possible, convenez de rôles, de responsabilités et de calendriers clairs.</w:t>
      </w:r>
    </w:p>
    <w:p w14:paraId="173DB163" w14:textId="4FEAB46E" w:rsidR="00BA1EA9" w:rsidRPr="00BA1EA9" w:rsidRDefault="00BA1EA9" w:rsidP="003C2F8D">
      <w:pPr>
        <w:rPr>
          <w:rFonts w:cstheme="minorHAnsi"/>
          <w:b/>
          <w:color w:val="ED7D31" w:themeColor="accent2"/>
          <w:sz w:val="28"/>
          <w:szCs w:val="28"/>
          <w:u w:val="single"/>
          <w:lang w:val="fr-FR"/>
        </w:rPr>
      </w:pPr>
      <w:r w:rsidRPr="00BA1EA9">
        <w:rPr>
          <w:rFonts w:cstheme="minorHAnsi"/>
          <w:b/>
          <w:color w:val="ED7D31" w:themeColor="accent2"/>
          <w:sz w:val="28"/>
          <w:szCs w:val="28"/>
          <w:u w:val="single"/>
          <w:lang w:val="fr-FR"/>
        </w:rPr>
        <w:t xml:space="preserve">Conseils pour l'engagement des </w:t>
      </w:r>
      <w:r>
        <w:rPr>
          <w:rFonts w:cstheme="minorHAnsi"/>
          <w:b/>
          <w:color w:val="ED7D31" w:themeColor="accent2"/>
          <w:sz w:val="28"/>
          <w:szCs w:val="28"/>
          <w:u w:val="single"/>
          <w:lang w:val="fr-FR"/>
        </w:rPr>
        <w:t>ASC</w:t>
      </w:r>
      <w:r w:rsidRPr="00BA1EA9">
        <w:rPr>
          <w:rFonts w:cstheme="minorHAnsi"/>
          <w:b/>
          <w:color w:val="ED7D31" w:themeColor="accent2"/>
          <w:sz w:val="28"/>
          <w:szCs w:val="28"/>
          <w:u w:val="single"/>
          <w:lang w:val="fr-FR"/>
        </w:rPr>
        <w:t xml:space="preserve"> : Après les JAA </w:t>
      </w:r>
    </w:p>
    <w:p w14:paraId="57C4DB35" w14:textId="77777777" w:rsidR="00BA1EA9" w:rsidRPr="00BA1EA9" w:rsidRDefault="00BA1EA9" w:rsidP="003C2F8D">
      <w:pPr>
        <w:rPr>
          <w:rFonts w:cstheme="minorHAnsi"/>
          <w:b/>
          <w:lang w:val="fr-FR"/>
        </w:rPr>
      </w:pPr>
    </w:p>
    <w:p w14:paraId="6883F3EE" w14:textId="214962E6" w:rsidR="00BA1EA9" w:rsidRPr="00BA1EA9" w:rsidRDefault="00BA1EA9" w:rsidP="00BA1EA9">
      <w:pPr>
        <w:rPr>
          <w:rFonts w:cstheme="minorHAnsi"/>
          <w:bCs/>
          <w:lang w:val="fr-FR"/>
        </w:rPr>
      </w:pPr>
      <w:r w:rsidRPr="00BA1EA9">
        <w:rPr>
          <w:rFonts w:cstheme="minorHAnsi"/>
          <w:b/>
          <w:lang w:val="fr-FR"/>
        </w:rPr>
        <w:lastRenderedPageBreak/>
        <w:t>Partagez les notes</w:t>
      </w:r>
      <w:r w:rsidRPr="00BA1EA9">
        <w:rPr>
          <w:rFonts w:cstheme="minorHAnsi"/>
          <w:bCs/>
          <w:lang w:val="fr-FR"/>
        </w:rPr>
        <w:t xml:space="preserve"> que vous avez prises avec la personne responsable de la préparation du rapport (point focal SUN). Si vous avez préparé un dossier </w:t>
      </w:r>
      <w:r>
        <w:rPr>
          <w:rFonts w:cstheme="minorHAnsi"/>
          <w:bCs/>
          <w:lang w:val="fr-FR"/>
        </w:rPr>
        <w:t>ASC</w:t>
      </w:r>
      <w:r w:rsidRPr="00BA1EA9">
        <w:rPr>
          <w:rFonts w:cstheme="minorHAnsi"/>
          <w:bCs/>
          <w:lang w:val="fr-FR"/>
        </w:rPr>
        <w:t xml:space="preserve"> (par exemple en utilisant le modèle JAA), partagez-le également, cela peut aider à rappeler à l'animateur votre contribution. </w:t>
      </w:r>
    </w:p>
    <w:p w14:paraId="2931F004" w14:textId="77777777" w:rsidR="00BA1EA9" w:rsidRPr="00BA1EA9" w:rsidRDefault="00BA1EA9" w:rsidP="00BA1EA9">
      <w:pPr>
        <w:rPr>
          <w:rFonts w:cstheme="minorHAnsi"/>
          <w:bCs/>
          <w:lang w:val="fr-FR"/>
        </w:rPr>
      </w:pPr>
      <w:r w:rsidRPr="00BA1EA9">
        <w:rPr>
          <w:rFonts w:cstheme="minorHAnsi"/>
          <w:b/>
          <w:lang w:val="fr-FR"/>
        </w:rPr>
        <w:t>Demandez à être impliqué dans l'examen et la validation du rapport</w:t>
      </w:r>
      <w:r w:rsidRPr="00BA1EA9">
        <w:rPr>
          <w:rFonts w:cstheme="minorHAnsi"/>
          <w:bCs/>
          <w:lang w:val="fr-FR"/>
        </w:rPr>
        <w:t>, afin de vous assurer que vos contributions sont bien saisies.</w:t>
      </w:r>
    </w:p>
    <w:p w14:paraId="7BD19B46" w14:textId="77777777" w:rsidR="00BA1EA9" w:rsidRPr="00BA1EA9" w:rsidRDefault="00BA1EA9" w:rsidP="00BA1EA9">
      <w:pPr>
        <w:rPr>
          <w:rFonts w:cstheme="minorHAnsi"/>
          <w:bCs/>
          <w:lang w:val="fr-FR"/>
        </w:rPr>
      </w:pPr>
      <w:r w:rsidRPr="00BA1EA9">
        <w:rPr>
          <w:rFonts w:cstheme="minorHAnsi"/>
          <w:b/>
          <w:lang w:val="fr-FR"/>
        </w:rPr>
        <w:t>Partagez le rapport avec tous les membres de l'ASC</w:t>
      </w:r>
      <w:r w:rsidRPr="00BA1EA9">
        <w:rPr>
          <w:rFonts w:cstheme="minorHAnsi"/>
          <w:bCs/>
          <w:lang w:val="fr-FR"/>
        </w:rPr>
        <w:t xml:space="preserve">, ainsi que les points clés de la consultation, en particulier les actions convenues. Le Point Focal SUN pourra télécharger le rapport soumis et le partager avec vous tous. N'hésitez pas à le demander. </w:t>
      </w:r>
    </w:p>
    <w:p w14:paraId="333EB3C2" w14:textId="54FD7261" w:rsidR="00BA1EA9" w:rsidRPr="00BA1EA9" w:rsidRDefault="00BA1EA9" w:rsidP="00BA1EA9">
      <w:pPr>
        <w:rPr>
          <w:rFonts w:cstheme="minorHAnsi"/>
          <w:bCs/>
          <w:lang w:val="fr-FR"/>
        </w:rPr>
      </w:pPr>
      <w:r w:rsidRPr="00BA1EA9">
        <w:rPr>
          <w:rFonts w:cstheme="minorHAnsi"/>
          <w:b/>
          <w:lang w:val="fr-FR"/>
        </w:rPr>
        <w:t>Partagez vos commentaires sur le processus avec le secrétariat du SUN</w:t>
      </w:r>
      <w:r>
        <w:rPr>
          <w:rFonts w:cstheme="minorHAnsi"/>
          <w:b/>
          <w:lang w:val="fr-FR"/>
        </w:rPr>
        <w:t>RSC</w:t>
      </w:r>
      <w:r w:rsidRPr="00BA1EA9">
        <w:rPr>
          <w:rFonts w:cstheme="minorHAnsi"/>
          <w:b/>
          <w:lang w:val="fr-FR"/>
        </w:rPr>
        <w:t>.</w:t>
      </w:r>
      <w:r w:rsidRPr="00BA1EA9">
        <w:rPr>
          <w:rFonts w:cstheme="minorHAnsi"/>
          <w:bCs/>
          <w:lang w:val="fr-FR"/>
        </w:rPr>
        <w:t xml:space="preserve"> Nous prendrons contact avec vous pour savoir comment le processus s'est déroulé, pour savoir ce qui a fonctionné, ce qui n'a </w:t>
      </w:r>
      <w:proofErr w:type="gramStart"/>
      <w:r w:rsidRPr="00BA1EA9">
        <w:rPr>
          <w:rFonts w:cstheme="minorHAnsi"/>
          <w:bCs/>
          <w:lang w:val="fr-FR"/>
        </w:rPr>
        <w:t>pas</w:t>
      </w:r>
      <w:proofErr w:type="gramEnd"/>
      <w:r w:rsidRPr="00BA1EA9">
        <w:rPr>
          <w:rFonts w:cstheme="minorHAnsi"/>
          <w:bCs/>
          <w:lang w:val="fr-FR"/>
        </w:rPr>
        <w:t xml:space="preserve"> fonctionné et comment le processus peut être amélioré. </w:t>
      </w:r>
    </w:p>
    <w:p w14:paraId="2B07E784" w14:textId="6C2B3F52" w:rsidR="00BA1EA9" w:rsidRPr="00BA1EA9" w:rsidRDefault="00BA1EA9" w:rsidP="00BA1EA9">
      <w:pPr>
        <w:rPr>
          <w:rFonts w:cstheme="minorHAnsi"/>
          <w:b/>
          <w:lang w:val="fr-FR"/>
        </w:rPr>
      </w:pPr>
      <w:r w:rsidRPr="00BA1EA9">
        <w:rPr>
          <w:rFonts w:cstheme="minorHAnsi"/>
          <w:b/>
          <w:lang w:val="fr-FR"/>
        </w:rPr>
        <w:t xml:space="preserve">Documentation/liens </w:t>
      </w:r>
      <w:r w:rsidRPr="00BA1EA9">
        <w:rPr>
          <w:rFonts w:cstheme="minorHAnsi"/>
          <w:b/>
          <w:lang w:val="fr-FR"/>
        </w:rPr>
        <w:t>utiles :</w:t>
      </w:r>
    </w:p>
    <w:p w14:paraId="7A1C1531" w14:textId="5B7AE650" w:rsidR="00BA1EA9" w:rsidRPr="00BA1EA9" w:rsidRDefault="00BA1EA9" w:rsidP="00BA1EA9">
      <w:pPr>
        <w:pStyle w:val="ListParagraph"/>
        <w:numPr>
          <w:ilvl w:val="0"/>
          <w:numId w:val="24"/>
        </w:numPr>
        <w:rPr>
          <w:bCs/>
          <w:lang w:val="fr-FR"/>
        </w:rPr>
      </w:pPr>
      <w:r w:rsidRPr="00BA1EA9">
        <w:rPr>
          <w:bCs/>
          <w:lang w:val="fr-FR"/>
        </w:rPr>
        <w:t xml:space="preserve">Évaluation annuelle conjointe : Rassembler à l'heure de COVID-19 (guidance) </w:t>
      </w:r>
      <w:hyperlink r:id="rId17" w:tgtFrame="_blank" w:history="1">
        <w:r w:rsidRPr="00BA1EA9">
          <w:rPr>
            <w:rStyle w:val="Hyperlink"/>
            <w:i/>
            <w:iCs/>
            <w:lang w:val="fr-FR"/>
          </w:rPr>
          <w:t>English</w:t>
        </w:r>
      </w:hyperlink>
      <w:r w:rsidRPr="00BA1EA9">
        <w:rPr>
          <w:rStyle w:val="Emphasis"/>
          <w:lang w:val="fr-FR"/>
        </w:rPr>
        <w:t xml:space="preserve"> | </w:t>
      </w:r>
      <w:hyperlink r:id="rId18" w:tgtFrame="_blank" w:history="1">
        <w:r w:rsidRPr="00BA1EA9">
          <w:rPr>
            <w:rStyle w:val="Hyperlink"/>
            <w:i/>
            <w:iCs/>
            <w:lang w:val="fr-FR"/>
          </w:rPr>
          <w:t>Français</w:t>
        </w:r>
      </w:hyperlink>
      <w:r w:rsidRPr="00BA1EA9">
        <w:rPr>
          <w:rStyle w:val="Emphasis"/>
          <w:lang w:val="fr-FR"/>
        </w:rPr>
        <w:t xml:space="preserve"> | </w:t>
      </w:r>
      <w:hyperlink r:id="rId19" w:tgtFrame="_blank" w:history="1">
        <w:proofErr w:type="spellStart"/>
        <w:r w:rsidRPr="00BA1EA9">
          <w:rPr>
            <w:rStyle w:val="Hyperlink"/>
            <w:i/>
            <w:iCs/>
            <w:lang w:val="fr-FR"/>
          </w:rPr>
          <w:t>Español</w:t>
        </w:r>
        <w:proofErr w:type="spellEnd"/>
      </w:hyperlink>
    </w:p>
    <w:p w14:paraId="2265F0B0" w14:textId="7C17F9E6" w:rsidR="00BA1EA9" w:rsidRPr="00BA1EA9" w:rsidRDefault="00BA1EA9" w:rsidP="00BA1EA9">
      <w:pPr>
        <w:pStyle w:val="ListParagraph"/>
        <w:numPr>
          <w:ilvl w:val="0"/>
          <w:numId w:val="24"/>
        </w:numPr>
        <w:rPr>
          <w:bCs/>
          <w:lang w:val="fr-FR"/>
        </w:rPr>
      </w:pPr>
      <w:r w:rsidRPr="00BA1EA9">
        <w:rPr>
          <w:bCs/>
          <w:lang w:val="fr-FR"/>
        </w:rPr>
        <w:t xml:space="preserve">Note explicative sur les marqueurs de progrès de l'évaluation annuelle conjointe </w:t>
      </w:r>
      <w:hyperlink r:id="rId20" w:tgtFrame="_blank" w:history="1">
        <w:r w:rsidRPr="00BA1EA9">
          <w:rPr>
            <w:rStyle w:val="Hyperlink"/>
            <w:i/>
            <w:iCs/>
            <w:lang w:val="fr-FR"/>
          </w:rPr>
          <w:t>English</w:t>
        </w:r>
      </w:hyperlink>
      <w:r w:rsidRPr="00BA1EA9">
        <w:rPr>
          <w:rStyle w:val="Emphasis"/>
          <w:lang w:val="fr-FR"/>
        </w:rPr>
        <w:t xml:space="preserve"> | </w:t>
      </w:r>
      <w:hyperlink r:id="rId21" w:tgtFrame="_blank" w:history="1">
        <w:r w:rsidRPr="00BA1EA9">
          <w:rPr>
            <w:rStyle w:val="Hyperlink"/>
            <w:i/>
            <w:iCs/>
            <w:lang w:val="fr-FR"/>
          </w:rPr>
          <w:t>Français</w:t>
        </w:r>
      </w:hyperlink>
      <w:r w:rsidRPr="00BA1EA9">
        <w:rPr>
          <w:rStyle w:val="Emphasis"/>
          <w:lang w:val="fr-FR"/>
        </w:rPr>
        <w:t xml:space="preserve"> | </w:t>
      </w:r>
      <w:hyperlink r:id="rId22" w:tgtFrame="_blank" w:history="1">
        <w:proofErr w:type="spellStart"/>
        <w:r w:rsidRPr="00BA1EA9">
          <w:rPr>
            <w:rStyle w:val="Hyperlink"/>
            <w:i/>
            <w:iCs/>
            <w:lang w:val="fr-FR"/>
          </w:rPr>
          <w:t>Español</w:t>
        </w:r>
        <w:proofErr w:type="spellEnd"/>
      </w:hyperlink>
    </w:p>
    <w:p w14:paraId="1CF1E1CC" w14:textId="16F5A147" w:rsidR="00BA1EA9" w:rsidRPr="00BA1EA9" w:rsidRDefault="00BA1EA9" w:rsidP="00DC284F">
      <w:pPr>
        <w:pStyle w:val="ListParagraph"/>
        <w:numPr>
          <w:ilvl w:val="0"/>
          <w:numId w:val="24"/>
        </w:numPr>
        <w:rPr>
          <w:bCs/>
          <w:lang w:val="fr-FR"/>
        </w:rPr>
      </w:pPr>
      <w:r w:rsidRPr="00BA1EA9">
        <w:rPr>
          <w:bCs/>
          <w:lang w:val="fr-FR"/>
        </w:rPr>
        <w:t xml:space="preserve">Modèle de rapport d'évaluation annuelle conjointe </w:t>
      </w:r>
      <w:hyperlink r:id="rId23" w:history="1">
        <w:r w:rsidRPr="00BA1EA9">
          <w:rPr>
            <w:rStyle w:val="Hyperlink"/>
            <w:rFonts w:cstheme="minorHAnsi"/>
            <w:lang w:val="fr-FR"/>
          </w:rPr>
          <w:t>English</w:t>
        </w:r>
      </w:hyperlink>
      <w:r w:rsidRPr="00BA1EA9">
        <w:rPr>
          <w:rFonts w:cstheme="minorHAnsi"/>
          <w:lang w:val="fr-FR"/>
        </w:rPr>
        <w:t xml:space="preserve"> ¦ </w:t>
      </w:r>
      <w:hyperlink r:id="rId24" w:history="1">
        <w:r w:rsidRPr="00BA1EA9">
          <w:rPr>
            <w:rStyle w:val="Hyperlink"/>
            <w:rFonts w:cstheme="minorHAnsi"/>
            <w:lang w:val="fr-FR"/>
          </w:rPr>
          <w:t>French</w:t>
        </w:r>
      </w:hyperlink>
      <w:r w:rsidRPr="00BA1EA9">
        <w:rPr>
          <w:rFonts w:cstheme="minorHAnsi"/>
          <w:lang w:val="fr-FR"/>
        </w:rPr>
        <w:t xml:space="preserve"> ¦ </w:t>
      </w:r>
      <w:hyperlink r:id="rId25" w:history="1">
        <w:proofErr w:type="spellStart"/>
        <w:r w:rsidRPr="00BA1EA9">
          <w:rPr>
            <w:rStyle w:val="Hyperlink"/>
            <w:rFonts w:cstheme="minorHAnsi"/>
            <w:lang w:val="fr-FR"/>
          </w:rPr>
          <w:t>Spanish</w:t>
        </w:r>
      </w:hyperlink>
      <w:r w:rsidRPr="00BA1EA9">
        <w:rPr>
          <w:bCs/>
          <w:lang w:val="fr-FR"/>
        </w:rPr>
        <w:t>Rapports</w:t>
      </w:r>
      <w:proofErr w:type="spellEnd"/>
      <w:r w:rsidRPr="00BA1EA9">
        <w:rPr>
          <w:bCs/>
          <w:lang w:val="fr-FR"/>
        </w:rPr>
        <w:t xml:space="preserve"> d'évaluation annuelle conjointe </w:t>
      </w:r>
      <w:hyperlink r:id="rId26" w:history="1">
        <w:r w:rsidRPr="00BA1EA9">
          <w:rPr>
            <w:rStyle w:val="Hyperlink"/>
            <w:bCs/>
            <w:lang w:val="fr-FR"/>
          </w:rPr>
          <w:t>2019 ; 2018 ; 2017</w:t>
        </w:r>
      </w:hyperlink>
    </w:p>
    <w:p w14:paraId="3F739C2B" w14:textId="6747C378" w:rsidR="00BA1EA9" w:rsidRPr="00BA1EA9" w:rsidRDefault="00BA1EA9" w:rsidP="00BA1EA9">
      <w:pPr>
        <w:pStyle w:val="ListParagraph"/>
        <w:numPr>
          <w:ilvl w:val="0"/>
          <w:numId w:val="24"/>
        </w:numPr>
        <w:rPr>
          <w:bCs/>
          <w:lang w:val="fr-FR"/>
        </w:rPr>
      </w:pPr>
      <w:r w:rsidRPr="00BA1EA9">
        <w:rPr>
          <w:bCs/>
          <w:lang w:val="fr-FR"/>
        </w:rPr>
        <w:t>Base de données en ligne de l'évaluation annuelle conjointe</w:t>
      </w:r>
      <w:r>
        <w:rPr>
          <w:bCs/>
          <w:lang w:val="fr-FR"/>
        </w:rPr>
        <w:t xml:space="preserve"> : </w:t>
      </w:r>
      <w:hyperlink r:id="rId27" w:history="1">
        <w:r w:rsidRPr="00F806AF">
          <w:rPr>
            <w:rStyle w:val="Hyperlink"/>
            <w:bCs/>
            <w:lang w:val="fr-FR"/>
          </w:rPr>
          <w:t>https://ja.scalingupnutrition.org/</w:t>
        </w:r>
      </w:hyperlink>
      <w:r>
        <w:rPr>
          <w:bCs/>
          <w:lang w:val="fr-FR"/>
        </w:rPr>
        <w:t xml:space="preserve"> </w:t>
      </w:r>
    </w:p>
    <w:sectPr w:rsidR="00BA1EA9" w:rsidRPr="00BA1EA9" w:rsidSect="002E0EB4">
      <w:headerReference w:type="default" r:id="rId28"/>
      <w:footerReference w:type="default" r:id="rId29"/>
      <w:pgSz w:w="11906" w:h="16838"/>
      <w:pgMar w:top="19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69FB4" w14:textId="77777777" w:rsidR="00377CFF" w:rsidRDefault="00377CFF" w:rsidP="00F94906">
      <w:pPr>
        <w:spacing w:after="0" w:line="240" w:lineRule="auto"/>
      </w:pPr>
      <w:r>
        <w:separator/>
      </w:r>
    </w:p>
  </w:endnote>
  <w:endnote w:type="continuationSeparator" w:id="0">
    <w:p w14:paraId="40B0E562" w14:textId="77777777" w:rsidR="00377CFF" w:rsidRDefault="00377CFF" w:rsidP="00F9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643906"/>
      <w:docPartObj>
        <w:docPartGallery w:val="Page Numbers (Bottom of Page)"/>
        <w:docPartUnique/>
      </w:docPartObj>
    </w:sdtPr>
    <w:sdtEndPr>
      <w:rPr>
        <w:sz w:val="18"/>
        <w:szCs w:val="18"/>
      </w:rPr>
    </w:sdtEndPr>
    <w:sdtContent>
      <w:p w14:paraId="6120D497" w14:textId="19234E22" w:rsidR="00377CFF" w:rsidRPr="00BA1EA9" w:rsidRDefault="00BA1EA9" w:rsidP="00F94906">
        <w:pPr>
          <w:jc w:val="right"/>
          <w:rPr>
            <w:sz w:val="18"/>
            <w:szCs w:val="18"/>
            <w:lang w:val="fr-FR"/>
          </w:rPr>
        </w:pPr>
        <w:r w:rsidRPr="00BA1EA9">
          <w:rPr>
            <w:rFonts w:cstheme="minorHAnsi"/>
            <w:i/>
            <w:sz w:val="18"/>
            <w:szCs w:val="18"/>
            <w:lang w:val="fr-FR"/>
          </w:rPr>
          <w:t xml:space="preserve">JAA 2020 - Note d'orientation pour les </w:t>
        </w:r>
        <w:r>
          <w:rPr>
            <w:rFonts w:cstheme="minorHAnsi"/>
            <w:i/>
            <w:sz w:val="18"/>
            <w:szCs w:val="18"/>
            <w:lang w:val="fr-FR"/>
          </w:rPr>
          <w:t>ASC</w:t>
        </w:r>
        <w:r w:rsidRPr="00BA1EA9">
          <w:rPr>
            <w:rFonts w:cstheme="minorHAnsi"/>
            <w:i/>
            <w:sz w:val="18"/>
            <w:szCs w:val="18"/>
            <w:lang w:val="fr-FR"/>
          </w:rPr>
          <w:t xml:space="preserve"> pour un engagement efficace                                </w:t>
        </w:r>
        <w:r w:rsidR="00377CFF" w:rsidRPr="00BA1EA9">
          <w:rPr>
            <w:sz w:val="18"/>
            <w:szCs w:val="18"/>
            <w:lang w:val="fr-FR"/>
          </w:rPr>
          <w:t xml:space="preserve">Page | </w:t>
        </w:r>
        <w:r w:rsidR="00377CFF" w:rsidRPr="00F94906">
          <w:rPr>
            <w:sz w:val="18"/>
            <w:szCs w:val="18"/>
          </w:rPr>
          <w:fldChar w:fldCharType="begin"/>
        </w:r>
        <w:r w:rsidR="00377CFF" w:rsidRPr="00BA1EA9">
          <w:rPr>
            <w:sz w:val="18"/>
            <w:szCs w:val="18"/>
            <w:lang w:val="fr-FR"/>
          </w:rPr>
          <w:instrText xml:space="preserve"> PAGE   \* MERGEFORMAT </w:instrText>
        </w:r>
        <w:r w:rsidR="00377CFF" w:rsidRPr="00F94906">
          <w:rPr>
            <w:sz w:val="18"/>
            <w:szCs w:val="18"/>
          </w:rPr>
          <w:fldChar w:fldCharType="separate"/>
        </w:r>
        <w:r w:rsidR="00B9580D" w:rsidRPr="00BA1EA9">
          <w:rPr>
            <w:noProof/>
            <w:sz w:val="18"/>
            <w:szCs w:val="18"/>
            <w:lang w:val="fr-FR"/>
          </w:rPr>
          <w:t>6</w:t>
        </w:r>
        <w:r w:rsidR="00377CFF" w:rsidRPr="00F94906">
          <w:rPr>
            <w:noProof/>
            <w:sz w:val="18"/>
            <w:szCs w:val="18"/>
          </w:rPr>
          <w:fldChar w:fldCharType="end"/>
        </w:r>
        <w:r w:rsidR="00377CFF" w:rsidRPr="00BA1EA9">
          <w:rPr>
            <w:sz w:val="18"/>
            <w:szCs w:val="18"/>
            <w:lang w:val="fr-F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B07A9" w14:textId="77777777" w:rsidR="00377CFF" w:rsidRDefault="00377CFF" w:rsidP="00F94906">
      <w:pPr>
        <w:spacing w:after="0" w:line="240" w:lineRule="auto"/>
      </w:pPr>
      <w:r>
        <w:separator/>
      </w:r>
    </w:p>
  </w:footnote>
  <w:footnote w:type="continuationSeparator" w:id="0">
    <w:p w14:paraId="5CF14F5F" w14:textId="77777777" w:rsidR="00377CFF" w:rsidRDefault="00377CFF" w:rsidP="00F9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2C164" w14:textId="1D2DB050" w:rsidR="002E0EB4" w:rsidRDefault="002E0EB4">
    <w:pPr>
      <w:pStyle w:val="Header"/>
    </w:pPr>
    <w:r>
      <w:rPr>
        <w:rFonts w:cstheme="minorHAnsi"/>
        <w:b/>
        <w:i/>
        <w:noProof/>
        <w:color w:val="ED7D31" w:themeColor="accent2"/>
        <w:sz w:val="32"/>
        <w:szCs w:val="32"/>
        <w:u w:val="single"/>
      </w:rPr>
      <w:drawing>
        <wp:anchor distT="0" distB="0" distL="114300" distR="114300" simplePos="0" relativeHeight="251659264" behindDoc="0" locked="0" layoutInCell="1" allowOverlap="1" wp14:anchorId="7CD1B30B" wp14:editId="14BA448B">
          <wp:simplePos x="0" y="0"/>
          <wp:positionH relativeFrom="margin">
            <wp:posOffset>1104265</wp:posOffset>
          </wp:positionH>
          <wp:positionV relativeFrom="paragraph">
            <wp:posOffset>-182880</wp:posOffset>
          </wp:positionV>
          <wp:extent cx="3686175" cy="737235"/>
          <wp:effectExtent l="0" t="0" r="9525" b="5715"/>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vil_society_network_CMYK_ENG 2019.jpg"/>
                  <pic:cNvPicPr/>
                </pic:nvPicPr>
                <pic:blipFill>
                  <a:blip r:embed="rId1">
                    <a:extLst>
                      <a:ext uri="{28A0092B-C50C-407E-A947-70E740481C1C}">
                        <a14:useLocalDpi xmlns:a14="http://schemas.microsoft.com/office/drawing/2010/main" val="0"/>
                      </a:ext>
                    </a:extLst>
                  </a:blip>
                  <a:stretch>
                    <a:fillRect/>
                  </a:stretch>
                </pic:blipFill>
                <pic:spPr>
                  <a:xfrm>
                    <a:off x="0" y="0"/>
                    <a:ext cx="3686175" cy="737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15D"/>
    <w:multiLevelType w:val="hybridMultilevel"/>
    <w:tmpl w:val="1CA433A2"/>
    <w:lvl w:ilvl="0" w:tplc="4D30B13C">
      <w:start w:val="1"/>
      <w:numFmt w:val="bullet"/>
      <w:lvlText w:val=""/>
      <w:lvlJc w:val="left"/>
      <w:pPr>
        <w:ind w:left="720" w:hanging="360"/>
      </w:pPr>
      <w:rPr>
        <w:rFonts w:ascii="Symbol" w:hAnsi="Symbol"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641C"/>
    <w:multiLevelType w:val="hybridMultilevel"/>
    <w:tmpl w:val="EF400FD8"/>
    <w:lvl w:ilvl="0" w:tplc="00DEBF86">
      <w:start w:val="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83CED"/>
    <w:multiLevelType w:val="hybridMultilevel"/>
    <w:tmpl w:val="51DA7284"/>
    <w:lvl w:ilvl="0" w:tplc="BB449F2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26E91"/>
    <w:multiLevelType w:val="hybridMultilevel"/>
    <w:tmpl w:val="1C22B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47C41"/>
    <w:multiLevelType w:val="hybridMultilevel"/>
    <w:tmpl w:val="68A627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C7CDD"/>
    <w:multiLevelType w:val="hybridMultilevel"/>
    <w:tmpl w:val="974E00F8"/>
    <w:lvl w:ilvl="0" w:tplc="A95EE480">
      <w:start w:val="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D7558"/>
    <w:multiLevelType w:val="hybridMultilevel"/>
    <w:tmpl w:val="846CAB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27BF7"/>
    <w:multiLevelType w:val="hybridMultilevel"/>
    <w:tmpl w:val="EA80ECD8"/>
    <w:lvl w:ilvl="0" w:tplc="2CF289EE">
      <w:start w:val="1"/>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01A29"/>
    <w:multiLevelType w:val="hybridMultilevel"/>
    <w:tmpl w:val="BC86D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6228B"/>
    <w:multiLevelType w:val="hybridMultilevel"/>
    <w:tmpl w:val="5106AD56"/>
    <w:lvl w:ilvl="0" w:tplc="2EE0C760">
      <w:start w:val="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435D1"/>
    <w:multiLevelType w:val="hybridMultilevel"/>
    <w:tmpl w:val="ABCC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62D95"/>
    <w:multiLevelType w:val="hybridMultilevel"/>
    <w:tmpl w:val="F6966B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E26E9"/>
    <w:multiLevelType w:val="hybridMultilevel"/>
    <w:tmpl w:val="1E0AB6FA"/>
    <w:lvl w:ilvl="0" w:tplc="04090005">
      <w:start w:val="1"/>
      <w:numFmt w:val="bullet"/>
      <w:lvlText w:val=""/>
      <w:lvlJc w:val="left"/>
      <w:pPr>
        <w:ind w:left="1687" w:hanging="360"/>
      </w:pPr>
      <w:rPr>
        <w:rFonts w:ascii="Wingdings" w:hAnsi="Wingdings"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5">
      <w:start w:val="1"/>
      <w:numFmt w:val="bullet"/>
      <w:lvlText w:val=""/>
      <w:lvlJc w:val="left"/>
      <w:pPr>
        <w:ind w:left="4567" w:hanging="360"/>
      </w:pPr>
      <w:rPr>
        <w:rFonts w:ascii="Wingdings" w:hAnsi="Wingdings"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13" w15:restartNumberingAfterBreak="0">
    <w:nsid w:val="4FC20BEB"/>
    <w:multiLevelType w:val="hybridMultilevel"/>
    <w:tmpl w:val="E9D89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1523FC"/>
    <w:multiLevelType w:val="hybridMultilevel"/>
    <w:tmpl w:val="5944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815B6"/>
    <w:multiLevelType w:val="hybridMultilevel"/>
    <w:tmpl w:val="7F5C8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44D34"/>
    <w:multiLevelType w:val="hybridMultilevel"/>
    <w:tmpl w:val="198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C26FF"/>
    <w:multiLevelType w:val="hybridMultilevel"/>
    <w:tmpl w:val="15E69B36"/>
    <w:lvl w:ilvl="0" w:tplc="6B1EBA5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64325"/>
    <w:multiLevelType w:val="hybridMultilevel"/>
    <w:tmpl w:val="3D2E9B12"/>
    <w:lvl w:ilvl="0" w:tplc="EDC2DD0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D0FDA"/>
    <w:multiLevelType w:val="hybridMultilevel"/>
    <w:tmpl w:val="2B4C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A5603"/>
    <w:multiLevelType w:val="hybridMultilevel"/>
    <w:tmpl w:val="E9BC89A0"/>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1" w15:restartNumberingAfterBreak="0">
    <w:nsid w:val="70037133"/>
    <w:multiLevelType w:val="hybridMultilevel"/>
    <w:tmpl w:val="5720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B35E0"/>
    <w:multiLevelType w:val="hybridMultilevel"/>
    <w:tmpl w:val="31B8EBFA"/>
    <w:lvl w:ilvl="0" w:tplc="4D30B13C">
      <w:start w:val="1"/>
      <w:numFmt w:val="bullet"/>
      <w:lvlText w:val=""/>
      <w:lvlJc w:val="left"/>
      <w:pPr>
        <w:ind w:left="720" w:hanging="360"/>
      </w:pPr>
      <w:rPr>
        <w:rFonts w:ascii="Symbol" w:hAnsi="Symbol"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D70F9"/>
    <w:multiLevelType w:val="hybridMultilevel"/>
    <w:tmpl w:val="BFD014FA"/>
    <w:lvl w:ilvl="0" w:tplc="4D30B13C">
      <w:start w:val="1"/>
      <w:numFmt w:val="bullet"/>
      <w:lvlText w:val=""/>
      <w:lvlJc w:val="left"/>
      <w:pPr>
        <w:ind w:left="720" w:hanging="360"/>
      </w:pPr>
      <w:rPr>
        <w:rFonts w:ascii="Symbol" w:hAnsi="Symbol"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8"/>
  </w:num>
  <w:num w:numId="4">
    <w:abstractNumId w:val="20"/>
  </w:num>
  <w:num w:numId="5">
    <w:abstractNumId w:val="13"/>
  </w:num>
  <w:num w:numId="6">
    <w:abstractNumId w:val="16"/>
  </w:num>
  <w:num w:numId="7">
    <w:abstractNumId w:val="15"/>
  </w:num>
  <w:num w:numId="8">
    <w:abstractNumId w:val="19"/>
  </w:num>
  <w:num w:numId="9">
    <w:abstractNumId w:val="7"/>
  </w:num>
  <w:num w:numId="10">
    <w:abstractNumId w:val="6"/>
  </w:num>
  <w:num w:numId="11">
    <w:abstractNumId w:val="11"/>
  </w:num>
  <w:num w:numId="12">
    <w:abstractNumId w:val="2"/>
  </w:num>
  <w:num w:numId="13">
    <w:abstractNumId w:val="17"/>
  </w:num>
  <w:num w:numId="14">
    <w:abstractNumId w:val="0"/>
  </w:num>
  <w:num w:numId="15">
    <w:abstractNumId w:val="10"/>
  </w:num>
  <w:num w:numId="16">
    <w:abstractNumId w:val="1"/>
  </w:num>
  <w:num w:numId="17">
    <w:abstractNumId w:val="22"/>
  </w:num>
  <w:num w:numId="18">
    <w:abstractNumId w:val="23"/>
  </w:num>
  <w:num w:numId="19">
    <w:abstractNumId w:val="5"/>
  </w:num>
  <w:num w:numId="20">
    <w:abstractNumId w:val="3"/>
  </w:num>
  <w:num w:numId="21">
    <w:abstractNumId w:val="4"/>
  </w:num>
  <w:num w:numId="22">
    <w:abstractNumId w:val="18"/>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BA"/>
    <w:rsid w:val="00011702"/>
    <w:rsid w:val="000D1D2E"/>
    <w:rsid w:val="000F128E"/>
    <w:rsid w:val="000F5BA0"/>
    <w:rsid w:val="00120884"/>
    <w:rsid w:val="001249B0"/>
    <w:rsid w:val="001542BD"/>
    <w:rsid w:val="0017793D"/>
    <w:rsid w:val="00180C38"/>
    <w:rsid w:val="00212166"/>
    <w:rsid w:val="0022089A"/>
    <w:rsid w:val="0022365E"/>
    <w:rsid w:val="00280804"/>
    <w:rsid w:val="002940BC"/>
    <w:rsid w:val="002E0EB4"/>
    <w:rsid w:val="0036242F"/>
    <w:rsid w:val="00377CFF"/>
    <w:rsid w:val="00390DDA"/>
    <w:rsid w:val="003C2F8D"/>
    <w:rsid w:val="003E64B5"/>
    <w:rsid w:val="003E7490"/>
    <w:rsid w:val="00432A3E"/>
    <w:rsid w:val="0048409A"/>
    <w:rsid w:val="004B004C"/>
    <w:rsid w:val="004D1209"/>
    <w:rsid w:val="004D26C1"/>
    <w:rsid w:val="00576645"/>
    <w:rsid w:val="005C4A9E"/>
    <w:rsid w:val="005C626F"/>
    <w:rsid w:val="005E01EA"/>
    <w:rsid w:val="00602159"/>
    <w:rsid w:val="00605480"/>
    <w:rsid w:val="00607329"/>
    <w:rsid w:val="00630C11"/>
    <w:rsid w:val="00636409"/>
    <w:rsid w:val="00663854"/>
    <w:rsid w:val="00671434"/>
    <w:rsid w:val="0069207E"/>
    <w:rsid w:val="00700BBA"/>
    <w:rsid w:val="00717560"/>
    <w:rsid w:val="00760FFE"/>
    <w:rsid w:val="0078061F"/>
    <w:rsid w:val="00780FB6"/>
    <w:rsid w:val="0078273F"/>
    <w:rsid w:val="00795A57"/>
    <w:rsid w:val="007B65E8"/>
    <w:rsid w:val="00837E97"/>
    <w:rsid w:val="008441A1"/>
    <w:rsid w:val="0085065F"/>
    <w:rsid w:val="00851D4E"/>
    <w:rsid w:val="0087176A"/>
    <w:rsid w:val="008A59E0"/>
    <w:rsid w:val="008B0BED"/>
    <w:rsid w:val="008E7ABA"/>
    <w:rsid w:val="008F70C3"/>
    <w:rsid w:val="008F7135"/>
    <w:rsid w:val="0093795E"/>
    <w:rsid w:val="00952A99"/>
    <w:rsid w:val="00960C88"/>
    <w:rsid w:val="00A12581"/>
    <w:rsid w:val="00A430BC"/>
    <w:rsid w:val="00A52295"/>
    <w:rsid w:val="00A56165"/>
    <w:rsid w:val="00AE6FC3"/>
    <w:rsid w:val="00B06BB4"/>
    <w:rsid w:val="00B21E8F"/>
    <w:rsid w:val="00B258B2"/>
    <w:rsid w:val="00B81025"/>
    <w:rsid w:val="00B91E46"/>
    <w:rsid w:val="00B9580D"/>
    <w:rsid w:val="00BA1D94"/>
    <w:rsid w:val="00BA1EA9"/>
    <w:rsid w:val="00BB105D"/>
    <w:rsid w:val="00BE78A9"/>
    <w:rsid w:val="00C01382"/>
    <w:rsid w:val="00C053A5"/>
    <w:rsid w:val="00C16147"/>
    <w:rsid w:val="00C22BDE"/>
    <w:rsid w:val="00C45335"/>
    <w:rsid w:val="00C45D2C"/>
    <w:rsid w:val="00C540B6"/>
    <w:rsid w:val="00C71AB3"/>
    <w:rsid w:val="00CB7FEC"/>
    <w:rsid w:val="00D31ABA"/>
    <w:rsid w:val="00D7753C"/>
    <w:rsid w:val="00D858B4"/>
    <w:rsid w:val="00DC1EDC"/>
    <w:rsid w:val="00E22BBC"/>
    <w:rsid w:val="00E34718"/>
    <w:rsid w:val="00E72DC3"/>
    <w:rsid w:val="00E93996"/>
    <w:rsid w:val="00ED5435"/>
    <w:rsid w:val="00ED7586"/>
    <w:rsid w:val="00F0016D"/>
    <w:rsid w:val="00F00721"/>
    <w:rsid w:val="00F05B44"/>
    <w:rsid w:val="00F94906"/>
    <w:rsid w:val="00FA7169"/>
    <w:rsid w:val="00FB447F"/>
    <w:rsid w:val="00FE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0379E"/>
  <w15:chartTrackingRefBased/>
  <w15:docId w15:val="{4F05FBC7-6C27-4C4D-9045-4F8319D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rsid w:val="00700BB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700BBA"/>
    <w:pPr>
      <w:spacing w:line="240" w:lineRule="auto"/>
    </w:pPr>
    <w:rPr>
      <w:sz w:val="20"/>
      <w:szCs w:val="20"/>
    </w:rPr>
  </w:style>
  <w:style w:type="character" w:customStyle="1" w:styleId="CommentTextChar">
    <w:name w:val="Comment Text Char"/>
    <w:basedOn w:val="DefaultParagraphFont"/>
    <w:link w:val="CommentText"/>
    <w:rsid w:val="00700BBA"/>
    <w:rPr>
      <w:sz w:val="20"/>
      <w:szCs w:val="20"/>
    </w:rPr>
  </w:style>
  <w:style w:type="character" w:customStyle="1" w:styleId="ListParagraphChar">
    <w:name w:val="List Paragraph Char"/>
    <w:aliases w:val="Paragraph Char"/>
    <w:link w:val="ListParagraph"/>
    <w:uiPriority w:val="34"/>
    <w:locked/>
    <w:rsid w:val="00700BBA"/>
  </w:style>
  <w:style w:type="paragraph" w:styleId="ListParagraph">
    <w:name w:val="List Paragraph"/>
    <w:aliases w:val="Paragraph"/>
    <w:basedOn w:val="Normal"/>
    <w:link w:val="ListParagraphChar"/>
    <w:uiPriority w:val="34"/>
    <w:qFormat/>
    <w:rsid w:val="00700BBA"/>
    <w:pPr>
      <w:spacing w:line="256" w:lineRule="auto"/>
      <w:ind w:left="720"/>
      <w:contextualSpacing/>
    </w:pPr>
  </w:style>
  <w:style w:type="character" w:styleId="CommentReference">
    <w:name w:val="annotation reference"/>
    <w:basedOn w:val="DefaultParagraphFont"/>
    <w:semiHidden/>
    <w:unhideWhenUsed/>
    <w:rsid w:val="00700BBA"/>
    <w:rPr>
      <w:sz w:val="16"/>
      <w:szCs w:val="16"/>
    </w:rPr>
  </w:style>
  <w:style w:type="paragraph" w:styleId="BalloonText">
    <w:name w:val="Balloon Text"/>
    <w:basedOn w:val="Normal"/>
    <w:link w:val="BalloonTextChar"/>
    <w:uiPriority w:val="99"/>
    <w:semiHidden/>
    <w:unhideWhenUsed/>
    <w:rsid w:val="0070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BA"/>
    <w:rPr>
      <w:rFonts w:ascii="Segoe UI" w:hAnsi="Segoe UI" w:cs="Segoe UI"/>
      <w:sz w:val="18"/>
      <w:szCs w:val="18"/>
    </w:rPr>
  </w:style>
  <w:style w:type="table" w:styleId="TableGrid">
    <w:name w:val="Table Grid"/>
    <w:basedOn w:val="TableNormal"/>
    <w:uiPriority w:val="59"/>
    <w:rsid w:val="0021216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A57"/>
    <w:rPr>
      <w:color w:val="0563C1" w:themeColor="hyperlink"/>
      <w:u w:val="single"/>
    </w:rPr>
  </w:style>
  <w:style w:type="character" w:styleId="UnresolvedMention">
    <w:name w:val="Unresolved Mention"/>
    <w:basedOn w:val="DefaultParagraphFont"/>
    <w:uiPriority w:val="99"/>
    <w:semiHidden/>
    <w:unhideWhenUsed/>
    <w:rsid w:val="00795A57"/>
    <w:rPr>
      <w:color w:val="808080"/>
      <w:shd w:val="clear" w:color="auto" w:fill="E6E6E6"/>
    </w:rPr>
  </w:style>
  <w:style w:type="paragraph" w:styleId="Header">
    <w:name w:val="header"/>
    <w:basedOn w:val="Normal"/>
    <w:link w:val="HeaderChar"/>
    <w:uiPriority w:val="99"/>
    <w:unhideWhenUsed/>
    <w:rsid w:val="00F94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906"/>
  </w:style>
  <w:style w:type="paragraph" w:styleId="Footer">
    <w:name w:val="footer"/>
    <w:basedOn w:val="Normal"/>
    <w:link w:val="FooterChar"/>
    <w:uiPriority w:val="99"/>
    <w:unhideWhenUsed/>
    <w:rsid w:val="00F94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906"/>
  </w:style>
  <w:style w:type="character" w:styleId="FollowedHyperlink">
    <w:name w:val="FollowedHyperlink"/>
    <w:basedOn w:val="DefaultParagraphFont"/>
    <w:uiPriority w:val="99"/>
    <w:semiHidden/>
    <w:unhideWhenUsed/>
    <w:rsid w:val="00837E9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30C11"/>
    <w:rPr>
      <w:b/>
      <w:bCs/>
    </w:rPr>
  </w:style>
  <w:style w:type="character" w:customStyle="1" w:styleId="CommentSubjectChar">
    <w:name w:val="Comment Subject Char"/>
    <w:basedOn w:val="CommentTextChar"/>
    <w:link w:val="CommentSubject"/>
    <w:uiPriority w:val="99"/>
    <w:semiHidden/>
    <w:rsid w:val="00630C11"/>
    <w:rPr>
      <w:b/>
      <w:bCs/>
      <w:sz w:val="20"/>
      <w:szCs w:val="20"/>
    </w:rPr>
  </w:style>
  <w:style w:type="paragraph" w:styleId="NormalWeb">
    <w:name w:val="Normal (Web)"/>
    <w:basedOn w:val="Normal"/>
    <w:uiPriority w:val="99"/>
    <w:semiHidden/>
    <w:unhideWhenUsed/>
    <w:rsid w:val="00C013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1382"/>
    <w:rPr>
      <w:b/>
      <w:bCs/>
    </w:rPr>
  </w:style>
  <w:style w:type="character" w:styleId="Emphasis">
    <w:name w:val="Emphasis"/>
    <w:basedOn w:val="DefaultParagraphFont"/>
    <w:uiPriority w:val="20"/>
    <w:qFormat/>
    <w:rsid w:val="00C01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9501">
      <w:bodyDiv w:val="1"/>
      <w:marLeft w:val="0"/>
      <w:marRight w:val="0"/>
      <w:marTop w:val="0"/>
      <w:marBottom w:val="0"/>
      <w:divBdr>
        <w:top w:val="none" w:sz="0" w:space="0" w:color="auto"/>
        <w:left w:val="none" w:sz="0" w:space="0" w:color="auto"/>
        <w:bottom w:val="none" w:sz="0" w:space="0" w:color="auto"/>
        <w:right w:val="none" w:sz="0" w:space="0" w:color="auto"/>
      </w:divBdr>
    </w:div>
    <w:div w:id="36664494">
      <w:bodyDiv w:val="1"/>
      <w:marLeft w:val="0"/>
      <w:marRight w:val="0"/>
      <w:marTop w:val="0"/>
      <w:marBottom w:val="0"/>
      <w:divBdr>
        <w:top w:val="none" w:sz="0" w:space="0" w:color="auto"/>
        <w:left w:val="none" w:sz="0" w:space="0" w:color="auto"/>
        <w:bottom w:val="none" w:sz="0" w:space="0" w:color="auto"/>
        <w:right w:val="none" w:sz="0" w:space="0" w:color="auto"/>
      </w:divBdr>
    </w:div>
    <w:div w:id="63336027">
      <w:bodyDiv w:val="1"/>
      <w:marLeft w:val="0"/>
      <w:marRight w:val="0"/>
      <w:marTop w:val="0"/>
      <w:marBottom w:val="0"/>
      <w:divBdr>
        <w:top w:val="none" w:sz="0" w:space="0" w:color="auto"/>
        <w:left w:val="none" w:sz="0" w:space="0" w:color="auto"/>
        <w:bottom w:val="none" w:sz="0" w:space="0" w:color="auto"/>
        <w:right w:val="none" w:sz="0" w:space="0" w:color="auto"/>
      </w:divBdr>
    </w:div>
    <w:div w:id="144200118">
      <w:bodyDiv w:val="1"/>
      <w:marLeft w:val="0"/>
      <w:marRight w:val="0"/>
      <w:marTop w:val="0"/>
      <w:marBottom w:val="0"/>
      <w:divBdr>
        <w:top w:val="none" w:sz="0" w:space="0" w:color="auto"/>
        <w:left w:val="none" w:sz="0" w:space="0" w:color="auto"/>
        <w:bottom w:val="none" w:sz="0" w:space="0" w:color="auto"/>
        <w:right w:val="none" w:sz="0" w:space="0" w:color="auto"/>
      </w:divBdr>
    </w:div>
    <w:div w:id="179976278">
      <w:bodyDiv w:val="1"/>
      <w:marLeft w:val="0"/>
      <w:marRight w:val="0"/>
      <w:marTop w:val="0"/>
      <w:marBottom w:val="0"/>
      <w:divBdr>
        <w:top w:val="none" w:sz="0" w:space="0" w:color="auto"/>
        <w:left w:val="none" w:sz="0" w:space="0" w:color="auto"/>
        <w:bottom w:val="none" w:sz="0" w:space="0" w:color="auto"/>
        <w:right w:val="none" w:sz="0" w:space="0" w:color="auto"/>
      </w:divBdr>
    </w:div>
    <w:div w:id="225797373">
      <w:bodyDiv w:val="1"/>
      <w:marLeft w:val="0"/>
      <w:marRight w:val="0"/>
      <w:marTop w:val="0"/>
      <w:marBottom w:val="0"/>
      <w:divBdr>
        <w:top w:val="none" w:sz="0" w:space="0" w:color="auto"/>
        <w:left w:val="none" w:sz="0" w:space="0" w:color="auto"/>
        <w:bottom w:val="none" w:sz="0" w:space="0" w:color="auto"/>
        <w:right w:val="none" w:sz="0" w:space="0" w:color="auto"/>
      </w:divBdr>
    </w:div>
    <w:div w:id="476919298">
      <w:bodyDiv w:val="1"/>
      <w:marLeft w:val="0"/>
      <w:marRight w:val="0"/>
      <w:marTop w:val="0"/>
      <w:marBottom w:val="0"/>
      <w:divBdr>
        <w:top w:val="none" w:sz="0" w:space="0" w:color="auto"/>
        <w:left w:val="none" w:sz="0" w:space="0" w:color="auto"/>
        <w:bottom w:val="none" w:sz="0" w:space="0" w:color="auto"/>
        <w:right w:val="none" w:sz="0" w:space="0" w:color="auto"/>
      </w:divBdr>
    </w:div>
    <w:div w:id="693193243">
      <w:bodyDiv w:val="1"/>
      <w:marLeft w:val="0"/>
      <w:marRight w:val="0"/>
      <w:marTop w:val="0"/>
      <w:marBottom w:val="0"/>
      <w:divBdr>
        <w:top w:val="none" w:sz="0" w:space="0" w:color="auto"/>
        <w:left w:val="none" w:sz="0" w:space="0" w:color="auto"/>
        <w:bottom w:val="none" w:sz="0" w:space="0" w:color="auto"/>
        <w:right w:val="none" w:sz="0" w:space="0" w:color="auto"/>
      </w:divBdr>
    </w:div>
    <w:div w:id="845484109">
      <w:bodyDiv w:val="1"/>
      <w:marLeft w:val="0"/>
      <w:marRight w:val="0"/>
      <w:marTop w:val="0"/>
      <w:marBottom w:val="0"/>
      <w:divBdr>
        <w:top w:val="none" w:sz="0" w:space="0" w:color="auto"/>
        <w:left w:val="none" w:sz="0" w:space="0" w:color="auto"/>
        <w:bottom w:val="none" w:sz="0" w:space="0" w:color="auto"/>
        <w:right w:val="none" w:sz="0" w:space="0" w:color="auto"/>
      </w:divBdr>
    </w:div>
    <w:div w:id="985739477">
      <w:bodyDiv w:val="1"/>
      <w:marLeft w:val="0"/>
      <w:marRight w:val="0"/>
      <w:marTop w:val="0"/>
      <w:marBottom w:val="0"/>
      <w:divBdr>
        <w:top w:val="none" w:sz="0" w:space="0" w:color="auto"/>
        <w:left w:val="none" w:sz="0" w:space="0" w:color="auto"/>
        <w:bottom w:val="none" w:sz="0" w:space="0" w:color="auto"/>
        <w:right w:val="none" w:sz="0" w:space="0" w:color="auto"/>
      </w:divBdr>
    </w:div>
    <w:div w:id="1005782653">
      <w:bodyDiv w:val="1"/>
      <w:marLeft w:val="0"/>
      <w:marRight w:val="0"/>
      <w:marTop w:val="0"/>
      <w:marBottom w:val="0"/>
      <w:divBdr>
        <w:top w:val="none" w:sz="0" w:space="0" w:color="auto"/>
        <w:left w:val="none" w:sz="0" w:space="0" w:color="auto"/>
        <w:bottom w:val="none" w:sz="0" w:space="0" w:color="auto"/>
        <w:right w:val="none" w:sz="0" w:space="0" w:color="auto"/>
      </w:divBdr>
    </w:div>
    <w:div w:id="1148860982">
      <w:bodyDiv w:val="1"/>
      <w:marLeft w:val="0"/>
      <w:marRight w:val="0"/>
      <w:marTop w:val="0"/>
      <w:marBottom w:val="0"/>
      <w:divBdr>
        <w:top w:val="none" w:sz="0" w:space="0" w:color="auto"/>
        <w:left w:val="none" w:sz="0" w:space="0" w:color="auto"/>
        <w:bottom w:val="none" w:sz="0" w:space="0" w:color="auto"/>
        <w:right w:val="none" w:sz="0" w:space="0" w:color="auto"/>
      </w:divBdr>
    </w:div>
    <w:div w:id="1262907637">
      <w:bodyDiv w:val="1"/>
      <w:marLeft w:val="0"/>
      <w:marRight w:val="0"/>
      <w:marTop w:val="0"/>
      <w:marBottom w:val="0"/>
      <w:divBdr>
        <w:top w:val="none" w:sz="0" w:space="0" w:color="auto"/>
        <w:left w:val="none" w:sz="0" w:space="0" w:color="auto"/>
        <w:bottom w:val="none" w:sz="0" w:space="0" w:color="auto"/>
        <w:right w:val="none" w:sz="0" w:space="0" w:color="auto"/>
      </w:divBdr>
    </w:div>
    <w:div w:id="1351489960">
      <w:bodyDiv w:val="1"/>
      <w:marLeft w:val="0"/>
      <w:marRight w:val="0"/>
      <w:marTop w:val="0"/>
      <w:marBottom w:val="0"/>
      <w:divBdr>
        <w:top w:val="none" w:sz="0" w:space="0" w:color="auto"/>
        <w:left w:val="none" w:sz="0" w:space="0" w:color="auto"/>
        <w:bottom w:val="none" w:sz="0" w:space="0" w:color="auto"/>
        <w:right w:val="none" w:sz="0" w:space="0" w:color="auto"/>
      </w:divBdr>
    </w:div>
    <w:div w:id="1376736723">
      <w:bodyDiv w:val="1"/>
      <w:marLeft w:val="0"/>
      <w:marRight w:val="0"/>
      <w:marTop w:val="0"/>
      <w:marBottom w:val="0"/>
      <w:divBdr>
        <w:top w:val="none" w:sz="0" w:space="0" w:color="auto"/>
        <w:left w:val="none" w:sz="0" w:space="0" w:color="auto"/>
        <w:bottom w:val="none" w:sz="0" w:space="0" w:color="auto"/>
        <w:right w:val="none" w:sz="0" w:space="0" w:color="auto"/>
      </w:divBdr>
    </w:div>
    <w:div w:id="1458596870">
      <w:bodyDiv w:val="1"/>
      <w:marLeft w:val="0"/>
      <w:marRight w:val="0"/>
      <w:marTop w:val="0"/>
      <w:marBottom w:val="0"/>
      <w:divBdr>
        <w:top w:val="none" w:sz="0" w:space="0" w:color="auto"/>
        <w:left w:val="none" w:sz="0" w:space="0" w:color="auto"/>
        <w:bottom w:val="none" w:sz="0" w:space="0" w:color="auto"/>
        <w:right w:val="none" w:sz="0" w:space="0" w:color="auto"/>
      </w:divBdr>
    </w:div>
    <w:div w:id="1503469367">
      <w:bodyDiv w:val="1"/>
      <w:marLeft w:val="0"/>
      <w:marRight w:val="0"/>
      <w:marTop w:val="0"/>
      <w:marBottom w:val="0"/>
      <w:divBdr>
        <w:top w:val="none" w:sz="0" w:space="0" w:color="auto"/>
        <w:left w:val="none" w:sz="0" w:space="0" w:color="auto"/>
        <w:bottom w:val="none" w:sz="0" w:space="0" w:color="auto"/>
        <w:right w:val="none" w:sz="0" w:space="0" w:color="auto"/>
      </w:divBdr>
    </w:div>
    <w:div w:id="16424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lingupnutrition.org/progress-impact/monitoring-evaluation-accountability-and-learning-meal/joint-assessment-exercise/the-2020-sun-movement-joint-assessment-toolbox/" TargetMode="External"/><Relationship Id="rId13" Type="http://schemas.openxmlformats.org/officeDocument/2006/relationships/hyperlink" Target="mailto:sun.csnetwork@savethechildren.org.uk" TargetMode="External"/><Relationship Id="rId18" Type="http://schemas.openxmlformats.org/officeDocument/2006/relationships/hyperlink" Target="https://scalingupnutrition.org/wp-content/uploads/2020/06/SUN-JA-gathering-COVID-19-FRE_web.pdf" TargetMode="External"/><Relationship Id="rId26" Type="http://schemas.openxmlformats.org/officeDocument/2006/relationships/hyperlink" Target="https://scalingupnutrition.org/progress-impact/monitoring-evaluation-accountability-and-learning-meal/joint-assessment-exercise/the-2020-sun-movement-joint-assessment-toolbox/" TargetMode="External"/><Relationship Id="rId3" Type="http://schemas.openxmlformats.org/officeDocument/2006/relationships/styles" Target="styles.xml"/><Relationship Id="rId21" Type="http://schemas.openxmlformats.org/officeDocument/2006/relationships/hyperlink" Target="https://scalingupnutrition.org/wp-content/uploads/2020/06/SUN-JA-gathering-COVID-19-FRE_web.pdf" TargetMode="External"/><Relationship Id="rId7" Type="http://schemas.openxmlformats.org/officeDocument/2006/relationships/endnotes" Target="endnotes.xml"/><Relationship Id="rId12" Type="http://schemas.openxmlformats.org/officeDocument/2006/relationships/hyperlink" Target="https://scalingupnutrition.org/wp-content/uploads/2020/07/SUN-JA-Explanatory-Note-FRE-2020_web.pdf" TargetMode="External"/><Relationship Id="rId17" Type="http://schemas.openxmlformats.org/officeDocument/2006/relationships/hyperlink" Target="https://scalingupnutrition.org/wp-content/uploads/2020/06/SUN-JA-gathering-COVID-19.pdf" TargetMode="External"/><Relationship Id="rId25" Type="http://schemas.openxmlformats.org/officeDocument/2006/relationships/hyperlink" Target="https://drive.google.com/file/d/12kNDKIsdONSDegCVmqR33oELM5cAEd3y/view?usp=sharing" TargetMode="External"/><Relationship Id="rId2" Type="http://schemas.openxmlformats.org/officeDocument/2006/relationships/numbering" Target="numbering.xml"/><Relationship Id="rId16" Type="http://schemas.openxmlformats.org/officeDocument/2006/relationships/hyperlink" Target="https://scalingupnutrition.org/progress-impact/monitoring-evaluation-accountability-and-learning-meal/joint-assessment-exercise/the-2020-sun-movement-joint-assessment-toolbox/" TargetMode="External"/><Relationship Id="rId20" Type="http://schemas.openxmlformats.org/officeDocument/2006/relationships/hyperlink" Target="https://scalingupnutrition.org/wp-content/uploads/2020/06/SUN-JA-gathering-COVID-1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alingupnutrition.org/wp-content/uploads/2020/06/SUN-JA-Explanatory-Note-ENG-2020_lowres.pdf" TargetMode="External"/><Relationship Id="rId24" Type="http://schemas.openxmlformats.org/officeDocument/2006/relationships/hyperlink" Target="https://drive.google.com/file/d/1sSXUKe0ZbmHMF6p4GdVqwdRiS0nt7dgC/view?usp=sharing" TargetMode="External"/><Relationship Id="rId5" Type="http://schemas.openxmlformats.org/officeDocument/2006/relationships/webSettings" Target="webSettings.xml"/><Relationship Id="rId15" Type="http://schemas.openxmlformats.org/officeDocument/2006/relationships/hyperlink" Target="https://drive.google.com/file/d/1sSXUKe0ZbmHMF6p4GdVqwdRiS0nt7dgC/view?usp=sharing" TargetMode="External"/><Relationship Id="rId23" Type="http://schemas.openxmlformats.org/officeDocument/2006/relationships/hyperlink" Target="https://drive.google.com/file/d/1bfbtIv-PgO34FsEz0eS0gwJAHK0zCAPU/view?usp=sharing" TargetMode="External"/><Relationship Id="rId28" Type="http://schemas.openxmlformats.org/officeDocument/2006/relationships/header" Target="header1.xml"/><Relationship Id="rId10" Type="http://schemas.openxmlformats.org/officeDocument/2006/relationships/hyperlink" Target="mailto:c.ruberto@savethechildren.org.uk" TargetMode="External"/><Relationship Id="rId19" Type="http://schemas.openxmlformats.org/officeDocument/2006/relationships/hyperlink" Target="https://scalingupnutrition.org/wp-content/uploads/2020/06/SUN-JA-gathering-COVID-19-ESP_web.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n.assessment@scalingupnutrition.org" TargetMode="External"/><Relationship Id="rId14" Type="http://schemas.openxmlformats.org/officeDocument/2006/relationships/hyperlink" Target="mailto:c.ruberto@savethechildren.org.uk" TargetMode="External"/><Relationship Id="rId22" Type="http://schemas.openxmlformats.org/officeDocument/2006/relationships/hyperlink" Target="https://scalingupnutrition.org/wp-content/uploads/2020/06/SUN-JA-gathering-COVID-19-ESP_web.pdf" TargetMode="External"/><Relationship Id="rId27" Type="http://schemas.openxmlformats.org/officeDocument/2006/relationships/hyperlink" Target="https://ja.scalingupnutrition.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F5F28-EE37-48C5-9798-6996F264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Ruberto</dc:creator>
  <cp:keywords/>
  <dc:description/>
  <cp:lastModifiedBy>Cecilia Ruberto</cp:lastModifiedBy>
  <cp:revision>3</cp:revision>
  <dcterms:created xsi:type="dcterms:W3CDTF">2020-07-22T12:37:00Z</dcterms:created>
  <dcterms:modified xsi:type="dcterms:W3CDTF">2020-07-22T16:25:00Z</dcterms:modified>
</cp:coreProperties>
</file>